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3F789">
      <w:pPr>
        <w:rPr>
          <w:rFonts w:eastAsia="仿宋_GB2312"/>
          <w:sz w:val="84"/>
        </w:rPr>
      </w:pPr>
    </w:p>
    <w:p w14:paraId="5C38B0E0">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290830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0.4pt;margin-top:22.9pt;height:0pt;width:56.7pt;z-index:251659264;mso-width-relative:page;mso-height-relative:page;" filled="f" stroked="t" coordsize="21600,21600" o:gfxdata="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EeA1L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天津市便民专线服务中心</w:t>
      </w:r>
    </w:p>
    <w:p w14:paraId="7D85ACBD">
      <w:pPr>
        <w:ind w:right="105"/>
        <w:jc w:val="right"/>
        <w:rPr>
          <w:rFonts w:eastAsia="黑体"/>
          <w:b/>
          <w:spacing w:val="40"/>
          <w:w w:val="66"/>
          <w:sz w:val="60"/>
          <w:szCs w:val="60"/>
        </w:rPr>
      </w:pPr>
      <w:r>
        <w:rPr>
          <w:rFonts w:hint="eastAsia" w:eastAsia="黑体"/>
          <w:b/>
          <w:spacing w:val="40"/>
          <w:w w:val="66"/>
          <w:sz w:val="60"/>
          <w:szCs w:val="60"/>
        </w:rPr>
        <w:t>话务系统云服务项目</w:t>
      </w:r>
    </w:p>
    <w:p w14:paraId="7354080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C75F0A0">
      <w:pPr>
        <w:ind w:right="1025"/>
        <w:jc w:val="center"/>
        <w:rPr>
          <w:rFonts w:eastAsia="黑体"/>
          <w:b/>
          <w:spacing w:val="40"/>
          <w:w w:val="66"/>
          <w:sz w:val="60"/>
          <w:szCs w:val="60"/>
        </w:rPr>
      </w:pPr>
    </w:p>
    <w:p w14:paraId="7F7CF628">
      <w:pPr>
        <w:jc w:val="center"/>
        <w:rPr>
          <w:rFonts w:eastAsia="黑体"/>
          <w:b/>
          <w:spacing w:val="40"/>
          <w:w w:val="66"/>
          <w:sz w:val="15"/>
          <w:szCs w:val="15"/>
        </w:rPr>
      </w:pPr>
      <w:r>
        <w:rPr>
          <w:rFonts w:eastAsia="黑体"/>
          <w:b/>
          <w:spacing w:val="40"/>
          <w:w w:val="66"/>
          <w:sz w:val="56"/>
          <w:szCs w:val="56"/>
        </w:rPr>
        <w:t xml:space="preserve">            </w:t>
      </w:r>
    </w:p>
    <w:p w14:paraId="7DAB8AD8">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ab/>
      </w:r>
      <w:r>
        <w:rPr>
          <w:rFonts w:hint="eastAsia" w:eastAsia="黑体"/>
          <w:spacing w:val="40"/>
          <w:w w:val="66"/>
          <w:sz w:val="32"/>
          <w:szCs w:val="32"/>
        </w:rPr>
        <w:t>TGPC-2026-D-0464</w:t>
      </w:r>
      <w:r>
        <w:rPr>
          <w:rFonts w:eastAsia="黑体"/>
          <w:spacing w:val="40"/>
          <w:w w:val="66"/>
          <w:sz w:val="32"/>
          <w:szCs w:val="32"/>
        </w:rPr>
        <w:t>）</w:t>
      </w:r>
    </w:p>
    <w:p w14:paraId="4DBF67C4">
      <w:pPr>
        <w:rPr>
          <w:sz w:val="40"/>
        </w:rPr>
      </w:pPr>
    </w:p>
    <w:p w14:paraId="297DFE50">
      <w:pPr>
        <w:rPr>
          <w:sz w:val="36"/>
        </w:rPr>
      </w:pPr>
    </w:p>
    <w:p w14:paraId="33B387CC">
      <w:pPr>
        <w:rPr>
          <w:sz w:val="36"/>
        </w:rPr>
      </w:pPr>
    </w:p>
    <w:p w14:paraId="0C39CD5A">
      <w:pPr>
        <w:rPr>
          <w:sz w:val="36"/>
        </w:rPr>
      </w:pPr>
    </w:p>
    <w:p w14:paraId="153F699B">
      <w:pPr>
        <w:rPr>
          <w:sz w:val="36"/>
        </w:rPr>
      </w:pPr>
    </w:p>
    <w:p w14:paraId="796A3286">
      <w:pPr>
        <w:rPr>
          <w:sz w:val="36"/>
        </w:rPr>
      </w:pPr>
    </w:p>
    <w:p w14:paraId="395C945B">
      <w:pPr>
        <w:rPr>
          <w:sz w:val="36"/>
        </w:rPr>
      </w:pPr>
    </w:p>
    <w:p w14:paraId="7DCD42DF">
      <w:pPr>
        <w:rPr>
          <w:sz w:val="36"/>
        </w:rPr>
      </w:pPr>
    </w:p>
    <w:p w14:paraId="3951439E">
      <w:pPr>
        <w:rPr>
          <w:sz w:val="36"/>
        </w:rPr>
      </w:pPr>
    </w:p>
    <w:p w14:paraId="5D7FF9B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1C84F77">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5</w:t>
      </w:r>
    </w:p>
    <w:p w14:paraId="20925621">
      <w:pPr>
        <w:widowControl/>
        <w:jc w:val="left"/>
        <w:rPr>
          <w:rFonts w:eastAsia="仿宋_GB2312"/>
          <w:b/>
          <w:bCs/>
          <w:kern w:val="0"/>
          <w:sz w:val="44"/>
          <w:szCs w:val="44"/>
        </w:rPr>
      </w:pPr>
    </w:p>
    <w:p w14:paraId="4B7A37FD">
      <w:pPr>
        <w:ind w:firstLine="408" w:firstLineChars="100"/>
        <w:jc w:val="center"/>
        <w:rPr>
          <w:b/>
          <w:spacing w:val="20"/>
          <w:w w:val="80"/>
          <w:sz w:val="48"/>
          <w:szCs w:val="48"/>
        </w:rPr>
        <w:sectPr>
          <w:headerReference r:id="rId3"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p>
    <w:p w14:paraId="5FD822AC">
      <w:pPr>
        <w:ind w:firstLine="408" w:firstLineChars="100"/>
        <w:jc w:val="center"/>
        <w:rPr>
          <w:b/>
          <w:spacing w:val="20"/>
          <w:w w:val="80"/>
          <w:sz w:val="48"/>
          <w:szCs w:val="48"/>
        </w:rPr>
      </w:pPr>
      <w:r>
        <w:rPr>
          <w:b/>
          <w:spacing w:val="20"/>
          <w:w w:val="80"/>
          <w:sz w:val="48"/>
          <w:szCs w:val="48"/>
        </w:rPr>
        <w:t>目  录</w:t>
      </w:r>
    </w:p>
    <w:p w14:paraId="506EC9F4">
      <w:pPr>
        <w:spacing w:line="560" w:lineRule="exact"/>
        <w:ind w:right="-141" w:rightChars="-73"/>
        <w:rPr>
          <w:b/>
          <w:sz w:val="24"/>
        </w:rPr>
      </w:pPr>
      <w:r>
        <w:rPr>
          <w:b/>
          <w:sz w:val="24"/>
        </w:rPr>
        <w:t>第一部分  投标邀请函</w:t>
      </w:r>
    </w:p>
    <w:p w14:paraId="2B308C7A">
      <w:pPr>
        <w:spacing w:line="560" w:lineRule="exact"/>
        <w:ind w:right="-141" w:rightChars="-73"/>
        <w:rPr>
          <w:b/>
          <w:sz w:val="24"/>
        </w:rPr>
      </w:pPr>
    </w:p>
    <w:p w14:paraId="20197DE2">
      <w:pPr>
        <w:spacing w:line="560" w:lineRule="exact"/>
        <w:ind w:right="-141" w:rightChars="-73"/>
        <w:rPr>
          <w:b/>
          <w:sz w:val="24"/>
        </w:rPr>
      </w:pPr>
      <w:r>
        <w:rPr>
          <w:b/>
          <w:sz w:val="24"/>
        </w:rPr>
        <w:t>第二部分  招标项目需求</w:t>
      </w:r>
    </w:p>
    <w:p w14:paraId="7B285E13">
      <w:pPr>
        <w:spacing w:line="560" w:lineRule="exact"/>
        <w:ind w:right="-141" w:rightChars="-73"/>
        <w:rPr>
          <w:b/>
          <w:sz w:val="24"/>
        </w:rPr>
      </w:pPr>
    </w:p>
    <w:p w14:paraId="16279008">
      <w:pPr>
        <w:spacing w:line="560" w:lineRule="exact"/>
        <w:ind w:right="-141" w:rightChars="-73"/>
        <w:rPr>
          <w:b/>
          <w:sz w:val="24"/>
        </w:rPr>
      </w:pPr>
      <w:r>
        <w:rPr>
          <w:b/>
          <w:sz w:val="24"/>
        </w:rPr>
        <w:t>第三部分  投标须知</w:t>
      </w:r>
    </w:p>
    <w:p w14:paraId="0C06240F">
      <w:pPr>
        <w:spacing w:line="560" w:lineRule="exact"/>
        <w:ind w:right="-141" w:rightChars="-73"/>
        <w:rPr>
          <w:sz w:val="24"/>
        </w:rPr>
      </w:pPr>
    </w:p>
    <w:p w14:paraId="0B00DBA1">
      <w:pPr>
        <w:spacing w:line="560" w:lineRule="exact"/>
        <w:rPr>
          <w:b/>
          <w:sz w:val="24"/>
        </w:rPr>
      </w:pPr>
      <w:r>
        <w:rPr>
          <w:b/>
          <w:sz w:val="24"/>
        </w:rPr>
        <w:t>第四部分  合同条款</w:t>
      </w:r>
    </w:p>
    <w:p w14:paraId="2A6FBC45">
      <w:pPr>
        <w:spacing w:line="560" w:lineRule="exact"/>
        <w:rPr>
          <w:sz w:val="24"/>
        </w:rPr>
      </w:pPr>
    </w:p>
    <w:p w14:paraId="016B9677">
      <w:pPr>
        <w:spacing w:line="560" w:lineRule="exact"/>
        <w:rPr>
          <w:sz w:val="24"/>
        </w:rPr>
      </w:pPr>
      <w:r>
        <w:rPr>
          <w:b/>
          <w:sz w:val="24"/>
        </w:rPr>
        <w:t>第五部分  投标文件格式</w:t>
      </w:r>
    </w:p>
    <w:p w14:paraId="30B84008">
      <w:pPr>
        <w:rPr>
          <w:sz w:val="24"/>
        </w:rPr>
      </w:pPr>
    </w:p>
    <w:p w14:paraId="5701D230">
      <w:pPr>
        <w:rPr>
          <w:sz w:val="24"/>
        </w:rPr>
      </w:pPr>
    </w:p>
    <w:p w14:paraId="3C1B688F">
      <w:pPr>
        <w:rPr>
          <w:sz w:val="24"/>
        </w:rPr>
      </w:pPr>
    </w:p>
    <w:p w14:paraId="4C18BB08">
      <w:pPr>
        <w:rPr>
          <w:sz w:val="24"/>
        </w:rPr>
      </w:pPr>
    </w:p>
    <w:p w14:paraId="50626CF3">
      <w:pPr>
        <w:rPr>
          <w:sz w:val="24"/>
        </w:rPr>
      </w:pPr>
    </w:p>
    <w:p w14:paraId="0C6EFD69">
      <w:pPr>
        <w:rPr>
          <w:sz w:val="24"/>
        </w:rPr>
      </w:pPr>
    </w:p>
    <w:p w14:paraId="42B39633">
      <w:pPr>
        <w:rPr>
          <w:b/>
        </w:rPr>
      </w:pPr>
    </w:p>
    <w:p w14:paraId="2CCCFCF4">
      <w:pPr>
        <w:pStyle w:val="16"/>
        <w:rPr>
          <w:rFonts w:ascii="Times New Roman" w:hAnsi="Times New Roman"/>
        </w:rPr>
        <w:sectPr>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bookmarkStart w:id="0" w:name="_Toc412903614"/>
    </w:p>
    <w:p w14:paraId="629E54F5">
      <w:pPr>
        <w:pStyle w:val="16"/>
        <w:rPr>
          <w:rFonts w:ascii="Times New Roman" w:hAnsi="Times New Roman"/>
        </w:rPr>
      </w:pPr>
      <w:r>
        <w:rPr>
          <w:rFonts w:ascii="Times New Roman" w:hAnsi="Times New Roman"/>
        </w:rPr>
        <w:t>第一部分  投标邀请函</w:t>
      </w:r>
      <w:bookmarkEnd w:id="0"/>
    </w:p>
    <w:p w14:paraId="282B9121">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天津市便民专线服务中心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天津市便民专线服务中心话务系统云服务项目</w:t>
      </w:r>
      <w:r>
        <w:rPr>
          <w:rFonts w:ascii="Times New Roman" w:hAnsi="Times New Roman" w:cs="Times New Roman" w:eastAsiaTheme="minorEastAsia"/>
          <w:color w:val="auto"/>
          <w:szCs w:val="32"/>
        </w:rPr>
        <w:t>实施政府采购。现欢迎合格的供应商参加投标。</w:t>
      </w:r>
    </w:p>
    <w:p w14:paraId="3929F4F0">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w:t>
      </w:r>
      <w:r>
        <w:rPr>
          <w:rFonts w:hint="eastAsia" w:ascii="Times New Roman" w:hAnsi="Times New Roman" w:eastAsia="宋体" w:cs="Times New Roman"/>
          <w:color w:val="auto"/>
          <w:szCs w:val="32"/>
          <w:lang w:val="en-US" w:eastAsia="zh-CN"/>
        </w:rPr>
        <w:t>有效</w:t>
      </w:r>
      <w:r>
        <w:rPr>
          <w:rFonts w:hint="eastAsia" w:ascii="Times New Roman" w:hAnsi="Times New Roman" w:eastAsia="宋体" w:cs="Times New Roman"/>
          <w:color w:val="auto"/>
          <w:szCs w:val="32"/>
        </w:rPr>
        <w:t>电子签章即视同所有页均已盖章。</w:t>
      </w:r>
    </w:p>
    <w:p w14:paraId="1A0C6A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18D727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天津市便民专线服务中心话务系统云服务项目</w:t>
      </w:r>
      <w:r>
        <w:rPr>
          <w:rFonts w:ascii="Times New Roman" w:hAnsi="Times New Roman" w:eastAsia="宋体" w:cs="Times New Roman"/>
          <w:color w:val="auto"/>
        </w:rPr>
        <w:t xml:space="preserve">  </w:t>
      </w:r>
    </w:p>
    <w:p w14:paraId="74163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TGPC-2026-D-0464</w:t>
      </w:r>
    </w:p>
    <w:p w14:paraId="56196B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017F62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65BC4C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0B02417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52D819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583"/>
        <w:gridCol w:w="1617"/>
        <w:gridCol w:w="1947"/>
        <w:gridCol w:w="1761"/>
        <w:gridCol w:w="1714"/>
      </w:tblGrid>
      <w:tr w14:paraId="5745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5" w:type="dxa"/>
            <w:vAlign w:val="center"/>
          </w:tcPr>
          <w:p w14:paraId="14ECB99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1583" w:type="dxa"/>
            <w:vAlign w:val="center"/>
          </w:tcPr>
          <w:p w14:paraId="22C4D35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617" w:type="dxa"/>
            <w:vAlign w:val="center"/>
          </w:tcPr>
          <w:p w14:paraId="7C14025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947" w:type="dxa"/>
            <w:vAlign w:val="center"/>
          </w:tcPr>
          <w:p w14:paraId="1457D04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761" w:type="dxa"/>
            <w:vAlign w:val="center"/>
          </w:tcPr>
          <w:p w14:paraId="07E3AC2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1714" w:type="dxa"/>
            <w:vAlign w:val="center"/>
          </w:tcPr>
          <w:p w14:paraId="27D3471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339E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224DA27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583" w:type="dxa"/>
            <w:vAlign w:val="center"/>
          </w:tcPr>
          <w:p w14:paraId="1F91FE8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话务系统服务</w:t>
            </w:r>
          </w:p>
        </w:tc>
        <w:tc>
          <w:tcPr>
            <w:tcW w:w="1617" w:type="dxa"/>
            <w:vAlign w:val="center"/>
          </w:tcPr>
          <w:p w14:paraId="494095E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1940000元</w:t>
            </w:r>
          </w:p>
        </w:tc>
        <w:tc>
          <w:tcPr>
            <w:tcW w:w="1947" w:type="dxa"/>
            <w:vAlign w:val="center"/>
          </w:tcPr>
          <w:p w14:paraId="785AA37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1940000元</w:t>
            </w:r>
          </w:p>
        </w:tc>
        <w:tc>
          <w:tcPr>
            <w:tcW w:w="1761" w:type="dxa"/>
            <w:vAlign w:val="center"/>
          </w:tcPr>
          <w:p w14:paraId="114AAE3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一年</w:t>
            </w:r>
          </w:p>
        </w:tc>
        <w:tc>
          <w:tcPr>
            <w:tcW w:w="1714" w:type="dxa"/>
            <w:vAlign w:val="center"/>
          </w:tcPr>
          <w:p w14:paraId="498541B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信息传输业</w:t>
            </w:r>
          </w:p>
        </w:tc>
      </w:tr>
      <w:tr w14:paraId="7DC4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354E85B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p>
        </w:tc>
        <w:tc>
          <w:tcPr>
            <w:tcW w:w="1583" w:type="dxa"/>
            <w:vAlign w:val="center"/>
          </w:tcPr>
          <w:p w14:paraId="3A8E5A9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监理服务</w:t>
            </w:r>
          </w:p>
        </w:tc>
        <w:tc>
          <w:tcPr>
            <w:tcW w:w="1617" w:type="dxa"/>
            <w:vAlign w:val="center"/>
          </w:tcPr>
          <w:p w14:paraId="5D8915F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60000元</w:t>
            </w:r>
          </w:p>
        </w:tc>
        <w:tc>
          <w:tcPr>
            <w:tcW w:w="1947" w:type="dxa"/>
            <w:vAlign w:val="center"/>
          </w:tcPr>
          <w:p w14:paraId="42BB8C5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60000元</w:t>
            </w:r>
          </w:p>
        </w:tc>
        <w:tc>
          <w:tcPr>
            <w:tcW w:w="1761" w:type="dxa"/>
            <w:vAlign w:val="center"/>
          </w:tcPr>
          <w:p w14:paraId="65C7459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一年</w:t>
            </w:r>
          </w:p>
        </w:tc>
        <w:tc>
          <w:tcPr>
            <w:tcW w:w="1714" w:type="dxa"/>
            <w:vAlign w:val="center"/>
          </w:tcPr>
          <w:p w14:paraId="48D7625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软件和信息技术服务业</w:t>
            </w:r>
          </w:p>
        </w:tc>
      </w:tr>
    </w:tbl>
    <w:p w14:paraId="2ADCEB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653BA939">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cs="Times New Roman" w:eastAsiaTheme="minorEastAsia"/>
          <w:color w:val="auto"/>
          <w:lang w:val="en-US" w:eastAsia="zh-CN"/>
        </w:rPr>
        <w:t>第一包</w:t>
      </w:r>
      <w:r>
        <w:rPr>
          <w:rFonts w:hint="eastAsia" w:ascii="Times New Roman" w:hAnsi="Times New Roman" w:eastAsia="宋体" w:cs="Times New Roman"/>
          <w:color w:val="auto"/>
        </w:rPr>
        <w:t>投标人具备</w:t>
      </w:r>
      <w:r>
        <w:rPr>
          <w:rFonts w:hint="eastAsia" w:ascii="宋体" w:hAnsi="宋体" w:eastAsia="宋体" w:cs="Times New Roman"/>
          <w:color w:val="auto"/>
        </w:rPr>
        <w:t>电信业务经营许可证</w:t>
      </w:r>
      <w:r>
        <w:rPr>
          <w:rFonts w:hint="eastAsia" w:ascii="宋体" w:hAnsi="宋体" w:eastAsia="宋体" w:cs="Times New Roman"/>
          <w:color w:val="auto"/>
          <w:lang w:eastAsia="zh-CN"/>
        </w:rPr>
        <w:t>（</w:t>
      </w:r>
      <w:r>
        <w:rPr>
          <w:rFonts w:hint="eastAsia" w:ascii="宋体" w:hAnsi="宋体" w:eastAsia="宋体" w:cs="Times New Roman"/>
          <w:color w:val="auto"/>
        </w:rPr>
        <w:t>业务种类至少包含呼叫中心业务</w:t>
      </w:r>
      <w:r>
        <w:rPr>
          <w:rFonts w:hint="eastAsia" w:ascii="宋体" w:hAnsi="宋体" w:eastAsia="宋体" w:cs="Times New Roman"/>
          <w:color w:val="auto"/>
          <w:lang w:eastAsia="zh-CN"/>
        </w:rPr>
        <w:t>）</w:t>
      </w:r>
      <w:r>
        <w:rPr>
          <w:rFonts w:hint="eastAsia" w:ascii="Times New Roman" w:hAnsi="Times New Roman" w:eastAsia="宋体" w:cs="Times New Roman"/>
          <w:color w:val="auto"/>
        </w:rPr>
        <w:t>，提供证书</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w:t>
      </w:r>
    </w:p>
    <w:p w14:paraId="192FCD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29FA3E1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或自然人的身份证明</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w:t>
      </w:r>
    </w:p>
    <w:p w14:paraId="0503AF1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7871FF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641E956C">
      <w:pPr>
        <w:pStyle w:val="29"/>
        <w:spacing w:line="360" w:lineRule="auto"/>
        <w:ind w:firstLine="448" w:firstLineChars="200"/>
        <w:rPr>
          <w:rFonts w:ascii="Times New Roman" w:hAnsi="Times New Roman" w:eastAsia="宋体" w:cs="Times New Roman"/>
          <w:color w:val="auto"/>
        </w:rPr>
      </w:pPr>
      <w:bookmarkStart w:id="1" w:name="OLE_LINK3"/>
      <w:bookmarkStart w:id="2" w:name="OLE_LINK4"/>
      <w:r>
        <w:rPr>
          <w:rFonts w:ascii="Times New Roman" w:hAnsi="Times New Roman" w:eastAsia="宋体" w:cs="Times New Roman"/>
          <w:color w:val="auto"/>
        </w:rPr>
        <w:t>（一）</w:t>
      </w:r>
      <w:r>
        <w:rPr>
          <w:rFonts w:hint="eastAsia" w:ascii="Times New Roman" w:hAnsi="Times New Roman" w:eastAsia="宋体" w:cs="Times New Roman"/>
          <w:color w:val="auto"/>
        </w:rPr>
        <w:t>本项目</w:t>
      </w:r>
      <w:r>
        <w:rPr>
          <w:rFonts w:ascii="Times New Roman" w:hAnsi="Times New Roman" w:eastAsia="宋体" w:cs="Times New Roman"/>
          <w:color w:val="auto"/>
        </w:rPr>
        <w:t>对小微企业</w:t>
      </w:r>
      <w:r>
        <w:rPr>
          <w:rFonts w:hint="eastAsia" w:ascii="Times New Roman" w:hAnsi="Times New Roman" w:eastAsia="宋体" w:cs="Times New Roman"/>
          <w:color w:val="auto"/>
        </w:rPr>
        <w:t>报价</w:t>
      </w:r>
      <w:r>
        <w:rPr>
          <w:rFonts w:ascii="Times New Roman" w:hAnsi="Times New Roman" w:eastAsia="宋体" w:cs="Times New Roman"/>
          <w:color w:val="auto"/>
        </w:rPr>
        <w:t>给予</w:t>
      </w:r>
      <w:r>
        <w:rPr>
          <w:rFonts w:hint="eastAsia" w:ascii="Times New Roman" w:hAnsi="Times New Roman" w:eastAsia="宋体" w:cs="Times New Roman"/>
          <w:color w:val="auto"/>
        </w:rPr>
        <w:t>20</w:t>
      </w:r>
      <w:r>
        <w:rPr>
          <w:rFonts w:ascii="Times New Roman" w:hAnsi="Times New Roman" w:eastAsia="宋体" w:cs="Times New Roman"/>
          <w:color w:val="auto"/>
        </w:rPr>
        <w:t>%的扣除。</w:t>
      </w:r>
    </w:p>
    <w:p w14:paraId="56A2D54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6A23EC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2C3D1C95">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3029BB74">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519E41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673DDDA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260EC06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66E74A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7F2EA7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68DA484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58EEF992">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15164C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0F67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FCE509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35BF25D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28575B4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488C888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7B2015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73A7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DF250F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3591CAF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14B3D5B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日</w:t>
            </w:r>
          </w:p>
        </w:tc>
        <w:tc>
          <w:tcPr>
            <w:tcW w:w="1891" w:type="dxa"/>
            <w:vAlign w:val="center"/>
          </w:tcPr>
          <w:p w14:paraId="111CDE5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27</w:t>
            </w:r>
            <w:r>
              <w:rPr>
                <w:rFonts w:hint="default" w:ascii="Times New Roman" w:hAnsi="Times New Roman" w:eastAsia="宋体" w:cs="Times New Roman"/>
                <w:color w:val="auto"/>
                <w:sz w:val="24"/>
                <w:szCs w:val="24"/>
              </w:rPr>
              <w:t>日</w:t>
            </w:r>
          </w:p>
        </w:tc>
        <w:tc>
          <w:tcPr>
            <w:tcW w:w="2632" w:type="dxa"/>
            <w:vAlign w:val="center"/>
          </w:tcPr>
          <w:p w14:paraId="4C69BA31">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349A6598">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4A10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2707E8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4431553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23E818C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日9:00</w:t>
            </w:r>
          </w:p>
        </w:tc>
        <w:tc>
          <w:tcPr>
            <w:tcW w:w="1891" w:type="dxa"/>
            <w:vAlign w:val="center"/>
          </w:tcPr>
          <w:p w14:paraId="7BA354D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日8:30</w:t>
            </w:r>
          </w:p>
        </w:tc>
        <w:tc>
          <w:tcPr>
            <w:tcW w:w="2632" w:type="dxa"/>
            <w:vAlign w:val="center"/>
          </w:tcPr>
          <w:p w14:paraId="254A6C32">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0F63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BA3BDF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23ABDBD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04878EC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日8:30</w:t>
            </w:r>
          </w:p>
        </w:tc>
        <w:tc>
          <w:tcPr>
            <w:tcW w:w="1891" w:type="dxa"/>
            <w:vAlign w:val="center"/>
          </w:tcPr>
          <w:p w14:paraId="3429C88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日9:30</w:t>
            </w:r>
          </w:p>
        </w:tc>
        <w:tc>
          <w:tcPr>
            <w:tcW w:w="2632" w:type="dxa"/>
            <w:vAlign w:val="center"/>
          </w:tcPr>
          <w:p w14:paraId="58E5BF3D">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3DDC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696947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65D0B12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0FD5EA4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日9:30</w:t>
            </w:r>
          </w:p>
        </w:tc>
        <w:tc>
          <w:tcPr>
            <w:tcW w:w="1891" w:type="dxa"/>
            <w:vAlign w:val="center"/>
          </w:tcPr>
          <w:p w14:paraId="0F5182A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日12:00</w:t>
            </w:r>
          </w:p>
        </w:tc>
        <w:tc>
          <w:tcPr>
            <w:tcW w:w="2632" w:type="dxa"/>
            <w:vAlign w:val="center"/>
          </w:tcPr>
          <w:p w14:paraId="6780F98A">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2709D44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45A3037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335B48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6BC85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1D483F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F2892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4DF65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38EA15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6FD854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668C90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5CC637A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BAAB8E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590D70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748E49E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755B370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5E56CA0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52B6712B">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768DE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27FE12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655075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7B4E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1F8F3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CEDC453">
      <w:pPr>
        <w:pStyle w:val="29"/>
        <w:spacing w:line="360" w:lineRule="auto"/>
        <w:ind w:firstLine="448" w:firstLineChars="200"/>
        <w:jc w:val="both"/>
        <w:rPr>
          <w:rFonts w:hint="default" w:ascii="Times New Roman" w:hAnsi="Times New Roman" w:eastAsia="宋体" w:cs="Times New Roman"/>
          <w:color w:val="auto"/>
          <w:lang w:val="en-US"/>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傅耀、范志刚</w:t>
      </w:r>
      <w:bookmarkStart w:id="9" w:name="_GoBack"/>
      <w:bookmarkEnd w:id="9"/>
    </w:p>
    <w:p w14:paraId="3BB87C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14B644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805A2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C5A41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D6599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7E586E6">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22BC54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9F432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490B066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天津市便民专线服务中心</w:t>
      </w:r>
    </w:p>
    <w:p w14:paraId="5B7EA57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天津市南开区南京路358号今晚传媒大厦新厦</w:t>
      </w:r>
      <w:r>
        <w:rPr>
          <w:rFonts w:ascii="Times New Roman" w:hAnsi="Times New Roman" w:eastAsia="宋体" w:cs="Times New Roman"/>
          <w:color w:val="auto"/>
        </w:rPr>
        <w:t xml:space="preserve"> </w:t>
      </w:r>
    </w:p>
    <w:p w14:paraId="0EA1D1C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高放</w:t>
      </w:r>
      <w:r>
        <w:rPr>
          <w:rFonts w:ascii="Times New Roman" w:hAnsi="Times New Roman" w:eastAsia="宋体" w:cs="Times New Roman"/>
          <w:color w:val="auto"/>
        </w:rPr>
        <w:t xml:space="preserve"> </w:t>
      </w:r>
    </w:p>
    <w:p w14:paraId="79F41D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022-58989059</w:t>
      </w:r>
      <w:r>
        <w:rPr>
          <w:rFonts w:ascii="Times New Roman" w:hAnsi="Times New Roman" w:eastAsia="宋体" w:cs="Times New Roman"/>
          <w:color w:val="auto"/>
        </w:rPr>
        <w:t xml:space="preserve"> </w:t>
      </w:r>
    </w:p>
    <w:p w14:paraId="7C4639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64471B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998FB5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475860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联系部门：天津市便民专线服务中心</w:t>
      </w:r>
    </w:p>
    <w:p w14:paraId="641657D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联系地址：天津市南开区南京路358号今晚传媒大厦新厦</w:t>
      </w:r>
    </w:p>
    <w:p w14:paraId="68A3283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人：邹靖涵</w:t>
      </w:r>
    </w:p>
    <w:p w14:paraId="061287C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联系方式：022-58987336</w:t>
      </w:r>
    </w:p>
    <w:p w14:paraId="605612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33FDC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F1754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4840E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B9831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65F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7817146">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566DCF35">
            <w:pPr>
              <w:tabs>
                <w:tab w:val="left" w:pos="750"/>
                <w:tab w:val="left" w:pos="840"/>
              </w:tabs>
              <w:adjustRightInd w:val="0"/>
              <w:snapToGrid w:val="0"/>
              <w:jc w:val="center"/>
              <w:rPr>
                <w:color w:val="auto"/>
                <w:sz w:val="24"/>
              </w:rPr>
            </w:pPr>
            <w:r>
              <w:rPr>
                <w:color w:val="auto"/>
                <w:sz w:val="24"/>
              </w:rPr>
              <w:t>费率</w:t>
            </w:r>
          </w:p>
        </w:tc>
      </w:tr>
      <w:tr w14:paraId="243D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A99B701">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28CEE497">
            <w:pPr>
              <w:tabs>
                <w:tab w:val="left" w:pos="750"/>
                <w:tab w:val="left" w:pos="840"/>
              </w:tabs>
              <w:adjustRightInd w:val="0"/>
              <w:snapToGrid w:val="0"/>
              <w:jc w:val="center"/>
              <w:rPr>
                <w:color w:val="auto"/>
                <w:sz w:val="24"/>
              </w:rPr>
            </w:pPr>
            <w:r>
              <w:rPr>
                <w:color w:val="auto"/>
                <w:sz w:val="24"/>
              </w:rPr>
              <w:t>1%</w:t>
            </w:r>
          </w:p>
        </w:tc>
      </w:tr>
      <w:tr w14:paraId="4A2C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94AAEA1">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704FA04A">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1B32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DDD573B">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AB8A213">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4B06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2DDF0AA">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66453CE1">
            <w:pPr>
              <w:tabs>
                <w:tab w:val="left" w:pos="750"/>
                <w:tab w:val="left" w:pos="840"/>
              </w:tabs>
              <w:adjustRightInd w:val="0"/>
              <w:snapToGrid w:val="0"/>
              <w:jc w:val="center"/>
              <w:rPr>
                <w:color w:val="auto"/>
                <w:sz w:val="24"/>
              </w:rPr>
            </w:pPr>
            <w:r>
              <w:rPr>
                <w:rFonts w:hint="eastAsia"/>
                <w:color w:val="auto"/>
                <w:sz w:val="24"/>
              </w:rPr>
              <w:t>0.25%</w:t>
            </w:r>
          </w:p>
        </w:tc>
      </w:tr>
      <w:tr w14:paraId="02D6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F75E403">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469B5C2C">
            <w:pPr>
              <w:tabs>
                <w:tab w:val="left" w:pos="750"/>
                <w:tab w:val="left" w:pos="840"/>
              </w:tabs>
              <w:adjustRightInd w:val="0"/>
              <w:snapToGrid w:val="0"/>
              <w:jc w:val="center"/>
              <w:rPr>
                <w:color w:val="auto"/>
                <w:sz w:val="24"/>
              </w:rPr>
            </w:pPr>
            <w:r>
              <w:rPr>
                <w:rFonts w:hint="eastAsia"/>
                <w:color w:val="auto"/>
                <w:sz w:val="24"/>
              </w:rPr>
              <w:t>0.1%</w:t>
            </w:r>
          </w:p>
        </w:tc>
      </w:tr>
      <w:tr w14:paraId="61F0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9782F28">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46BF23A4">
            <w:pPr>
              <w:tabs>
                <w:tab w:val="left" w:pos="750"/>
                <w:tab w:val="left" w:pos="840"/>
              </w:tabs>
              <w:adjustRightInd w:val="0"/>
              <w:snapToGrid w:val="0"/>
              <w:jc w:val="center"/>
              <w:rPr>
                <w:color w:val="auto"/>
                <w:sz w:val="24"/>
              </w:rPr>
            </w:pPr>
            <w:r>
              <w:rPr>
                <w:rFonts w:hint="eastAsia"/>
                <w:color w:val="auto"/>
                <w:sz w:val="24"/>
              </w:rPr>
              <w:t>0.05%</w:t>
            </w:r>
          </w:p>
        </w:tc>
      </w:tr>
    </w:tbl>
    <w:p w14:paraId="7A73E76C">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7CC0F569">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3ECA263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90D484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144948F8">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928D0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F0F6CF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BD810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78F18F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015B02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335090D9">
      <w:pPr>
        <w:pStyle w:val="29"/>
        <w:spacing w:line="360" w:lineRule="auto"/>
        <w:jc w:val="both"/>
        <w:rPr>
          <w:rFonts w:ascii="Times New Roman" w:hAnsi="Times New Roman" w:eastAsia="宋体" w:cs="Times New Roman"/>
          <w:color w:val="auto"/>
        </w:rPr>
      </w:pPr>
    </w:p>
    <w:p w14:paraId="0CD6AC6F">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5</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r>
        <w:rPr>
          <w:rFonts w:ascii="Times New Roman" w:hAnsi="Times New Roman" w:eastAsia="宋体" w:cs="Times New Roman"/>
          <w:color w:val="auto"/>
        </w:rPr>
        <w:t>日</w:t>
      </w:r>
    </w:p>
    <w:p w14:paraId="7FE5223E">
      <w:pPr>
        <w:pStyle w:val="29"/>
        <w:spacing w:line="360" w:lineRule="auto"/>
        <w:ind w:right="892"/>
        <w:rPr>
          <w:rFonts w:ascii="Times New Roman" w:hAnsi="Times New Roman" w:eastAsia="宋体" w:cs="Times New Roman"/>
          <w:color w:val="auto"/>
        </w:rPr>
      </w:pPr>
    </w:p>
    <w:p w14:paraId="1FED1329">
      <w:pPr>
        <w:widowControl/>
        <w:jc w:val="left"/>
        <w:rPr>
          <w:kern w:val="0"/>
          <w:sz w:val="24"/>
          <w:szCs w:val="24"/>
        </w:rPr>
      </w:pPr>
      <w:r>
        <w:br w:type="page"/>
      </w:r>
    </w:p>
    <w:p w14:paraId="6F011FBD">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7C22A234">
      <w:pPr>
        <w:spacing w:line="360" w:lineRule="auto"/>
        <w:jc w:val="center"/>
        <w:rPr>
          <w:rFonts w:eastAsia="方正小标宋简体"/>
          <w:bCs/>
          <w:kern w:val="0"/>
          <w:sz w:val="24"/>
          <w:szCs w:val="24"/>
        </w:rPr>
      </w:pPr>
    </w:p>
    <w:p w14:paraId="04395D4E">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01411CF0">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49200E3D">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7D78B943">
      <w:pPr>
        <w:spacing w:line="360" w:lineRule="auto"/>
        <w:jc w:val="center"/>
        <w:rPr>
          <w:rFonts w:eastAsia="方正小标宋简体"/>
          <w:spacing w:val="-10"/>
          <w:sz w:val="24"/>
          <w:szCs w:val="24"/>
        </w:rPr>
      </w:pPr>
    </w:p>
    <w:p w14:paraId="3F36E9C1">
      <w:pPr>
        <w:spacing w:line="360" w:lineRule="auto"/>
        <w:jc w:val="center"/>
        <w:rPr>
          <w:rFonts w:eastAsia="方正小标宋简体"/>
          <w:spacing w:val="-10"/>
          <w:sz w:val="24"/>
          <w:szCs w:val="24"/>
        </w:rPr>
      </w:pPr>
    </w:p>
    <w:p w14:paraId="6CF9DA0E">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39718564">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72C996D4">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AB3B7B7">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509BA8E7">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4A8DFC85">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646793B9">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6585B101">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5159AE50">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5DDA1771">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0CD6817A">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3F104E5D">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0BD70FB7">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07F20938">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542ECA20">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0334178C">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7451FB99">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6B49E2BA">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5C71FFFB">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386706FE">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72E5825D">
      <w:pPr>
        <w:spacing w:line="360" w:lineRule="exact"/>
        <w:ind w:firstLine="448" w:firstLineChars="200"/>
        <w:rPr>
          <w:rFonts w:eastAsiaTheme="minorEastAsia"/>
          <w:sz w:val="24"/>
        </w:rPr>
      </w:pPr>
    </w:p>
    <w:p w14:paraId="7B8DB348">
      <w:pPr>
        <w:adjustRightInd w:val="0"/>
        <w:snapToGrid w:val="0"/>
        <w:spacing w:line="400" w:lineRule="exact"/>
        <w:jc w:val="center"/>
        <w:rPr>
          <w:b/>
          <w:sz w:val="24"/>
          <w:szCs w:val="24"/>
        </w:rPr>
      </w:pPr>
      <w:r>
        <w:rPr>
          <w:b/>
          <w:sz w:val="24"/>
          <w:szCs w:val="24"/>
        </w:rPr>
        <w:t>诚信参与政府采购活动提示函</w:t>
      </w:r>
    </w:p>
    <w:p w14:paraId="78E71EEE">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260CB6D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A8B328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31CCC02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36ECC69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08D4869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7962280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B469A5A">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42015F78">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19CD140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DADA9A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9DF0EC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7BA41D55">
      <w:pPr>
        <w:spacing w:line="360" w:lineRule="exact"/>
        <w:ind w:firstLine="448" w:firstLineChars="200"/>
        <w:rPr>
          <w:rFonts w:eastAsiaTheme="minorEastAsia"/>
          <w:sz w:val="24"/>
        </w:rPr>
      </w:pPr>
    </w:p>
    <w:p w14:paraId="6A51803D">
      <w:pPr>
        <w:spacing w:line="360" w:lineRule="exact"/>
        <w:ind w:firstLine="608" w:firstLineChars="200"/>
        <w:rPr>
          <w:b/>
          <w:bCs/>
          <w:kern w:val="28"/>
          <w:sz w:val="32"/>
          <w:szCs w:val="32"/>
        </w:rPr>
      </w:pPr>
    </w:p>
    <w:p w14:paraId="0A3DB807">
      <w:pPr>
        <w:widowControl/>
        <w:jc w:val="left"/>
        <w:rPr>
          <w:b/>
          <w:bCs/>
          <w:kern w:val="28"/>
          <w:sz w:val="32"/>
          <w:szCs w:val="32"/>
          <w:lang w:val="zh-CN" w:eastAsia="zh-CN"/>
        </w:rPr>
      </w:pPr>
      <w:r>
        <w:br w:type="page"/>
      </w:r>
    </w:p>
    <w:p w14:paraId="57E86F67">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12DDDDFA">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3E81DCE3">
      <w:pPr>
        <w:widowControl/>
        <w:ind w:firstLine="448" w:firstLineChars="200"/>
        <w:jc w:val="left"/>
        <w:rPr>
          <w:color w:val="auto"/>
          <w:sz w:val="24"/>
        </w:rPr>
      </w:pPr>
      <w:r>
        <w:rPr>
          <w:rFonts w:hint="eastAsia"/>
          <w:color w:val="auto"/>
          <w:sz w:val="24"/>
        </w:rPr>
        <w:t>一、项目背景</w:t>
      </w:r>
    </w:p>
    <w:p w14:paraId="5A8572C4">
      <w:pPr>
        <w:tabs>
          <w:tab w:val="left" w:pos="210"/>
        </w:tabs>
        <w:autoSpaceDE w:val="0"/>
        <w:autoSpaceDN w:val="0"/>
        <w:adjustRightInd w:val="0"/>
        <w:spacing w:line="360" w:lineRule="auto"/>
        <w:ind w:firstLine="448" w:firstLineChars="200"/>
        <w:outlineLvl w:val="0"/>
        <w:rPr>
          <w:rFonts w:hint="eastAsia"/>
          <w:color w:val="auto"/>
          <w:sz w:val="24"/>
          <w:szCs w:val="24"/>
        </w:rPr>
      </w:pPr>
      <w:r>
        <w:rPr>
          <w:rFonts w:hint="eastAsia"/>
          <w:color w:val="auto"/>
          <w:sz w:val="24"/>
          <w:szCs w:val="24"/>
        </w:rPr>
        <w:t>在话务员座席办公电脑方面，采购专网和互联网环境使用的云桌面服务，替代12345热线话务座席现有老旧电脑PC的办公模式，配备符合安全可靠测评要求的操作系统、流式、版式软件、终端管控系统等，云桌面私有化部署至采购人现有机柜，通过专线连接至现有座席所在地机房核心交换机，满足符合安全可靠测评要求自主可控，数据安全有保障，云桌面统一部署管理，大幅提高办公效率。同时采购应急云桌面服务，座席本地利旧现有座席间交换机连接网络拓扑。</w:t>
      </w:r>
    </w:p>
    <w:p w14:paraId="31E8D42E">
      <w:pPr>
        <w:tabs>
          <w:tab w:val="left" w:pos="210"/>
        </w:tabs>
        <w:autoSpaceDE w:val="0"/>
        <w:autoSpaceDN w:val="0"/>
        <w:adjustRightInd w:val="0"/>
        <w:spacing w:line="360" w:lineRule="auto"/>
        <w:ind w:firstLine="448" w:firstLineChars="200"/>
        <w:outlineLvl w:val="0"/>
        <w:rPr>
          <w:rFonts w:hint="eastAsia"/>
          <w:color w:val="auto"/>
          <w:sz w:val="24"/>
          <w:szCs w:val="24"/>
        </w:rPr>
      </w:pPr>
      <w:r>
        <w:rPr>
          <w:rFonts w:hint="eastAsia"/>
          <w:color w:val="auto"/>
          <w:sz w:val="24"/>
          <w:szCs w:val="24"/>
        </w:rPr>
        <w:t>在12345热线话务呼叫中心系统方面，从安全性、稳定性、可扩展性等多方面考虑，购买符合安全可靠测评要求的话务系统服务，升级替换现有话务系统，虚拟化部署符合安全可靠测评要求的呼叫中心平台软件应用系统，同时便于维护和管理，节省机房空间，可支持弹性扩展，具备未来向智能化、VOLTE视频演进的能力，并利旧12345热线当前话务系统已有的30B+D方式配备语音网关接入政务云机房配套机柜，满足12345热线发展业务需求，实现继承现有话务系统语音话务能力，话务系统支撑能力、响应速度和稳定性明显增强。</w:t>
      </w:r>
    </w:p>
    <w:p w14:paraId="6131B6CF">
      <w:pPr>
        <w:tabs>
          <w:tab w:val="left" w:pos="210"/>
        </w:tabs>
        <w:autoSpaceDE w:val="0"/>
        <w:autoSpaceDN w:val="0"/>
        <w:adjustRightInd w:val="0"/>
        <w:spacing w:line="360" w:lineRule="auto"/>
        <w:ind w:firstLine="448" w:firstLineChars="200"/>
        <w:outlineLvl w:val="0"/>
        <w:rPr>
          <w:rFonts w:hint="eastAsia"/>
          <w:color w:val="auto"/>
          <w:sz w:val="24"/>
          <w:szCs w:val="24"/>
        </w:rPr>
      </w:pPr>
      <w:r>
        <w:rPr>
          <w:rFonts w:hint="eastAsia"/>
          <w:color w:val="auto"/>
          <w:sz w:val="24"/>
          <w:szCs w:val="24"/>
        </w:rPr>
        <w:t>以上云呼叫中心平台、云桌面平台同现有业务工单系统均部署在政务云机房，通过跳线连接至太极云业务工单系统，减少业务交互调用耗时，提升交互效率。</w:t>
      </w:r>
    </w:p>
    <w:p w14:paraId="584D6EFE">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二、技术要求</w:t>
      </w:r>
    </w:p>
    <w:p w14:paraId="7239B04B">
      <w:pPr>
        <w:spacing w:line="360" w:lineRule="auto"/>
        <w:ind w:firstLine="448"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17C2ABD4">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（二）具体要求</w:t>
      </w:r>
    </w:p>
    <w:p w14:paraId="6076EB3D">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详见项目需求书。</w:t>
      </w:r>
    </w:p>
    <w:p w14:paraId="53AEA565">
      <w:pPr>
        <w:tabs>
          <w:tab w:val="left" w:pos="210"/>
        </w:tabs>
        <w:autoSpaceDE w:val="0"/>
        <w:autoSpaceDN w:val="0"/>
        <w:adjustRightInd w:val="0"/>
        <w:spacing w:line="360" w:lineRule="auto"/>
        <w:ind w:firstLine="448" w:firstLineChars="200"/>
        <w:outlineLvl w:val="0"/>
        <w:rPr>
          <w:color w:val="auto"/>
          <w:sz w:val="24"/>
          <w:szCs w:val="24"/>
        </w:rPr>
      </w:pPr>
    </w:p>
    <w:p w14:paraId="48B09C82">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三</w:t>
      </w:r>
      <w:r>
        <w:rPr>
          <w:color w:val="auto"/>
          <w:sz w:val="24"/>
          <w:szCs w:val="24"/>
        </w:rPr>
        <w:t>、商务要求</w:t>
      </w:r>
    </w:p>
    <w:p w14:paraId="1F8C14B7">
      <w:pPr>
        <w:autoSpaceDE w:val="0"/>
        <w:autoSpaceDN w:val="0"/>
        <w:adjustRightInd w:val="0"/>
        <w:spacing w:line="360" w:lineRule="auto"/>
        <w:ind w:firstLine="448" w:firstLineChars="200"/>
        <w:rPr>
          <w:color w:val="auto"/>
          <w:sz w:val="24"/>
        </w:rPr>
      </w:pPr>
      <w:r>
        <w:rPr>
          <w:color w:val="auto"/>
          <w:sz w:val="24"/>
        </w:rPr>
        <w:t>（一）报价要求</w:t>
      </w:r>
    </w:p>
    <w:p w14:paraId="15EF3154">
      <w:pPr>
        <w:autoSpaceDE w:val="0"/>
        <w:autoSpaceDN w:val="0"/>
        <w:adjustRightInd w:val="0"/>
        <w:spacing w:line="360" w:lineRule="auto"/>
        <w:ind w:firstLine="448" w:firstLineChars="200"/>
        <w:rPr>
          <w:color w:val="auto"/>
          <w:sz w:val="24"/>
        </w:rPr>
      </w:pPr>
      <w:r>
        <w:rPr>
          <w:color w:val="auto"/>
          <w:sz w:val="24"/>
        </w:rPr>
        <w:t>1. 投标报价以人民币填列。</w:t>
      </w:r>
    </w:p>
    <w:p w14:paraId="39BFC74E">
      <w:pPr>
        <w:autoSpaceDE w:val="0"/>
        <w:autoSpaceDN w:val="0"/>
        <w:adjustRightInd w:val="0"/>
        <w:spacing w:line="360" w:lineRule="auto"/>
        <w:ind w:firstLine="448" w:firstLineChars="200"/>
        <w:rPr>
          <w:color w:val="auto"/>
          <w:sz w:val="24"/>
        </w:rPr>
      </w:pPr>
      <w:r>
        <w:rPr>
          <w:color w:val="auto"/>
          <w:sz w:val="24"/>
        </w:rPr>
        <w:t>2. 投标人的报价应包括：</w:t>
      </w:r>
    </w:p>
    <w:p w14:paraId="05320A0B">
      <w:pPr>
        <w:autoSpaceDE w:val="0"/>
        <w:autoSpaceDN w:val="0"/>
        <w:adjustRightInd w:val="0"/>
        <w:spacing w:line="360" w:lineRule="auto"/>
        <w:ind w:firstLine="448" w:firstLineChars="200"/>
        <w:rPr>
          <w:rFonts w:hint="eastAsia"/>
          <w:color w:val="auto"/>
          <w:sz w:val="24"/>
        </w:rPr>
      </w:pPr>
      <w:r>
        <w:rPr>
          <w:rFonts w:hint="eastAsia"/>
          <w:color w:val="auto"/>
          <w:sz w:val="24"/>
        </w:rPr>
        <w:t>第一包：人员费用、服务费用、设备使用费、链路费、材料费用等为完成招标文件规定的一切工作所需的全部费用。投标人所报价格应为最终优惠价格。</w:t>
      </w:r>
    </w:p>
    <w:p w14:paraId="6E7C0F07">
      <w:pPr>
        <w:autoSpaceDE w:val="0"/>
        <w:autoSpaceDN w:val="0"/>
        <w:adjustRightInd w:val="0"/>
        <w:spacing w:line="360" w:lineRule="auto"/>
        <w:ind w:firstLine="448" w:firstLineChars="200"/>
        <w:rPr>
          <w:color w:val="auto"/>
          <w:sz w:val="24"/>
        </w:rPr>
      </w:pPr>
      <w:r>
        <w:rPr>
          <w:rFonts w:hint="eastAsia"/>
          <w:color w:val="auto"/>
          <w:sz w:val="24"/>
        </w:rPr>
        <w:t>第二包：人员费用、监理费、管理费等为完成招标文件规定的一切工作所需的全部费用。投标人所报价格应为最终优惠价格。</w:t>
      </w:r>
    </w:p>
    <w:p w14:paraId="3E0CA6BA">
      <w:pPr>
        <w:spacing w:line="360" w:lineRule="auto"/>
        <w:ind w:firstLine="448" w:firstLineChars="200"/>
        <w:rPr>
          <w:color w:val="auto"/>
          <w:kern w:val="0"/>
          <w:sz w:val="24"/>
          <w:szCs w:val="24"/>
        </w:rPr>
      </w:pPr>
      <w:r>
        <w:rPr>
          <w:rFonts w:hint="eastAsia"/>
          <w:color w:val="auto"/>
          <w:kern w:val="0"/>
          <w:sz w:val="24"/>
          <w:szCs w:val="24"/>
        </w:rPr>
        <w:t xml:space="preserve">3. </w:t>
      </w:r>
      <w:r>
        <w:rPr>
          <w:color w:val="auto"/>
          <w:sz w:val="24"/>
        </w:rPr>
        <w:t>验收相关费用由投标人负责。</w:t>
      </w:r>
    </w:p>
    <w:p w14:paraId="7EC82D55">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560701E4">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lang w:val="en-US" w:eastAsia="zh-CN"/>
        </w:rPr>
        <w:t>合同规定的服务起始之日起一年</w:t>
      </w:r>
      <w:r>
        <w:rPr>
          <w:color w:val="auto"/>
          <w:sz w:val="24"/>
        </w:rPr>
        <w:t>（特殊情况以合同为准）。</w:t>
      </w:r>
    </w:p>
    <w:p w14:paraId="557203AF">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天津市南开区南京路358号</w:t>
      </w:r>
      <w:r>
        <w:rPr>
          <w:color w:val="auto"/>
          <w:sz w:val="24"/>
        </w:rPr>
        <w:t>（特殊情况以合同为准）。</w:t>
      </w:r>
    </w:p>
    <w:p w14:paraId="065F6A37">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68DECC66">
      <w:pPr>
        <w:autoSpaceDE w:val="0"/>
        <w:autoSpaceDN w:val="0"/>
        <w:adjustRightInd w:val="0"/>
        <w:spacing w:line="360" w:lineRule="auto"/>
        <w:ind w:firstLine="448" w:firstLineChars="200"/>
        <w:rPr>
          <w:color w:val="auto"/>
          <w:sz w:val="24"/>
        </w:rPr>
      </w:pPr>
      <w:r>
        <w:rPr>
          <w:rFonts w:hint="eastAsia"/>
          <w:color w:val="auto"/>
          <w:sz w:val="24"/>
        </w:rPr>
        <w:t>签订合同之日起30日内支付合同总额的50%，服务期满6个月且验收合格之日起30日内支付合同总额的50%</w:t>
      </w:r>
      <w:r>
        <w:rPr>
          <w:color w:val="auto"/>
          <w:sz w:val="24"/>
        </w:rPr>
        <w:t>（特殊情况以合同为准）。</w:t>
      </w:r>
    </w:p>
    <w:p w14:paraId="369D8B88">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3ACFC38D">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4CC68256">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0F3FA08E">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E3BD7AB">
      <w:pPr>
        <w:spacing w:line="360" w:lineRule="auto"/>
        <w:ind w:firstLine="448" w:firstLineChars="200"/>
        <w:outlineLvl w:val="0"/>
        <w:rPr>
          <w:sz w:val="24"/>
        </w:rPr>
      </w:pPr>
      <w:r>
        <w:rPr>
          <w:sz w:val="24"/>
        </w:rPr>
        <w:t>四、评分因素及评标标准</w:t>
      </w:r>
    </w:p>
    <w:p w14:paraId="1BC366BE">
      <w:pPr>
        <w:keepLines w:val="0"/>
        <w:pageBreakBefore w:val="0"/>
        <w:widowControl w:val="0"/>
        <w:kinsoku/>
        <w:wordWrap/>
        <w:overflowPunct/>
        <w:bidi w:val="0"/>
        <w:spacing w:line="360" w:lineRule="auto"/>
        <w:ind w:firstLine="448" w:firstLineChars="200"/>
        <w:outlineLvl w:val="9"/>
        <w:rPr>
          <w:color w:val="auto"/>
          <w:sz w:val="24"/>
        </w:rPr>
      </w:pPr>
      <w:r>
        <w:rPr>
          <w:rFonts w:hint="eastAsia"/>
          <w:color w:val="auto"/>
          <w:sz w:val="24"/>
        </w:rPr>
        <w:t>第一包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2DB4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3586F7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第一部分 价格（10分）</w:t>
            </w:r>
          </w:p>
        </w:tc>
        <w:tc>
          <w:tcPr>
            <w:tcW w:w="1143" w:type="dxa"/>
            <w:shd w:val="clear" w:color="auto" w:fill="auto"/>
            <w:vAlign w:val="center"/>
          </w:tcPr>
          <w:p w14:paraId="0E3858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049F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5E527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419" w:type="dxa"/>
            <w:shd w:val="clear" w:color="auto" w:fill="auto"/>
            <w:vAlign w:val="center"/>
          </w:tcPr>
          <w:p w14:paraId="39DA81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价格</w:t>
            </w:r>
          </w:p>
        </w:tc>
        <w:tc>
          <w:tcPr>
            <w:tcW w:w="7311" w:type="dxa"/>
            <w:shd w:val="clear" w:color="auto" w:fill="auto"/>
            <w:vAlign w:val="center"/>
          </w:tcPr>
          <w:p w14:paraId="2649109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（1）投标报价超过采购预算的，投标无效，未超过采购预算的投标报价按以下公式进行计算。</w:t>
            </w:r>
          </w:p>
          <w:p w14:paraId="7EB683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（2）投标报价得分=（评标基准价/投标报价）×10</w:t>
            </w:r>
          </w:p>
          <w:p w14:paraId="3276AE0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注：满足招标文件要求且投标报价最低的投标报价为评标基准价。</w:t>
            </w:r>
          </w:p>
        </w:tc>
        <w:tc>
          <w:tcPr>
            <w:tcW w:w="1143" w:type="dxa"/>
            <w:shd w:val="clear" w:color="auto" w:fill="auto"/>
            <w:vAlign w:val="center"/>
          </w:tcPr>
          <w:p w14:paraId="4101D9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w:t>
            </w:r>
          </w:p>
        </w:tc>
      </w:tr>
      <w:tr w14:paraId="7E5E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55127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第二部分 客观分（30分）</w:t>
            </w:r>
          </w:p>
        </w:tc>
        <w:tc>
          <w:tcPr>
            <w:tcW w:w="1143" w:type="dxa"/>
            <w:shd w:val="clear" w:color="auto" w:fill="auto"/>
            <w:vAlign w:val="center"/>
          </w:tcPr>
          <w:p w14:paraId="6343B7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05C9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jc w:val="center"/>
        </w:trPr>
        <w:tc>
          <w:tcPr>
            <w:tcW w:w="663" w:type="dxa"/>
            <w:shd w:val="clear" w:color="auto" w:fill="auto"/>
            <w:noWrap/>
            <w:vAlign w:val="center"/>
          </w:tcPr>
          <w:p w14:paraId="4C7117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419" w:type="dxa"/>
            <w:shd w:val="clear" w:color="auto" w:fill="auto"/>
            <w:vAlign w:val="center"/>
          </w:tcPr>
          <w:p w14:paraId="60D520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投标人业绩</w:t>
            </w:r>
          </w:p>
        </w:tc>
        <w:tc>
          <w:tcPr>
            <w:tcW w:w="7311" w:type="dxa"/>
            <w:shd w:val="clear" w:color="auto" w:fill="auto"/>
            <w:vAlign w:val="center"/>
          </w:tcPr>
          <w:p w14:paraId="5A4E9F5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完全按照以下要求提供投标人曾实施的话务系统服务或云桌面服务相关的业绩，提供的证明材料均不得遮挡涂黑，否则不予认定加分。</w:t>
            </w:r>
          </w:p>
          <w:p w14:paraId="5750F8A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A. 合同</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。包括买卖双方名称及盖章、服务内容</w:t>
            </w:r>
            <w:r>
              <w:rPr>
                <w:rFonts w:hint="default" w:ascii="Times New Roman" w:hAnsi="Times New Roman" w:eastAsia="宋体" w:cs="Times New Roman"/>
                <w:bCs/>
                <w:color w:val="auto"/>
                <w:sz w:val="24"/>
                <w:szCs w:val="24"/>
              </w:rPr>
              <w:t>、合同签订日期（应为202</w:t>
            </w:r>
            <w:r>
              <w:rPr>
                <w:rFonts w:hint="default" w:ascii="Times New Roman" w:hAnsi="Times New Roman" w:eastAsia="宋体" w:cs="Times New Roman"/>
                <w:bCs/>
                <w:color w:val="auto"/>
                <w:sz w:val="24"/>
                <w:szCs w:val="24"/>
                <w:lang w:val="en-US" w:eastAsia="zh-CN"/>
              </w:rPr>
              <w:t>3</w:t>
            </w:r>
            <w:r>
              <w:rPr>
                <w:rFonts w:hint="default" w:ascii="Times New Roman" w:hAnsi="Times New Roman" w:eastAsia="宋体" w:cs="Times New Roman"/>
                <w:bCs/>
                <w:color w:val="auto"/>
                <w:sz w:val="24"/>
                <w:szCs w:val="24"/>
              </w:rPr>
              <w:t>年1月1日或以后）</w:t>
            </w:r>
            <w:r>
              <w:rPr>
                <w:rFonts w:hint="default" w:ascii="Times New Roman" w:hAnsi="Times New Roman" w:eastAsia="宋体" w:cs="Times New Roman"/>
                <w:color w:val="auto"/>
                <w:kern w:val="0"/>
                <w:sz w:val="24"/>
                <w:szCs w:val="24"/>
              </w:rPr>
              <w:t>。</w:t>
            </w:r>
          </w:p>
          <w:p w14:paraId="41DFA96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B. 上述合同履行良好的相关证明材料</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（加盖上述合同甲方单位公章或上述合同中所盖的甲方印章）。</w:t>
            </w:r>
          </w:p>
          <w:p w14:paraId="4AD0070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每个业绩</w:t>
            </w:r>
            <w:r>
              <w:rPr>
                <w:rFonts w:hint="default" w:ascii="Times New Roman" w:hAnsi="Times New Roman" w:eastAsia="宋体"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分，最多</w:t>
            </w:r>
            <w:r>
              <w:rPr>
                <w:rFonts w:hint="default" w:ascii="Times New Roman" w:hAnsi="Times New Roman" w:eastAsia="宋体" w:cs="Times New Roman"/>
                <w:color w:val="auto"/>
                <w:kern w:val="0"/>
                <w:sz w:val="24"/>
                <w:szCs w:val="24"/>
                <w:lang w:val="en-US" w:eastAsia="zh-CN"/>
              </w:rPr>
              <w:t>6</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5F017E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6</w:t>
            </w:r>
          </w:p>
        </w:tc>
      </w:tr>
      <w:tr w14:paraId="62D2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vMerge w:val="restart"/>
            <w:shd w:val="clear" w:color="auto" w:fill="auto"/>
            <w:noWrap/>
            <w:vAlign w:val="center"/>
          </w:tcPr>
          <w:p w14:paraId="471974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419" w:type="dxa"/>
            <w:vMerge w:val="restart"/>
            <w:shd w:val="clear" w:color="auto" w:fill="auto"/>
            <w:vAlign w:val="center"/>
          </w:tcPr>
          <w:p w14:paraId="1AE48F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投标人相关证书</w:t>
            </w:r>
          </w:p>
        </w:tc>
        <w:tc>
          <w:tcPr>
            <w:tcW w:w="7311" w:type="dxa"/>
            <w:shd w:val="clear" w:color="auto" w:fill="auto"/>
            <w:vAlign w:val="center"/>
          </w:tcPr>
          <w:p w14:paraId="5F3E1B1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rPr>
              <w:t>投标人具备质量管理体系认证、环境管理体系认证、职业健康安全管理体系认证、服务质量评价认证证书、企业标准体系认证证书、可信云-对象存储服务能力检验证书，提供证书</w:t>
            </w:r>
            <w:r>
              <w:rPr>
                <w:rFonts w:hint="default" w:ascii="Times New Roman" w:hAnsi="Times New Roman" w:eastAsia="宋体" w:cs="Times New Roman"/>
                <w:color w:val="auto"/>
                <w:kern w:val="0"/>
                <w:sz w:val="24"/>
                <w:szCs w:val="24"/>
                <w:lang w:eastAsia="zh-CN"/>
              </w:rPr>
              <w:t>电子件</w:t>
            </w:r>
          </w:p>
          <w:p w14:paraId="45BE7A5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每种上述证书</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1分，最高</w:t>
            </w:r>
            <w:r>
              <w:rPr>
                <w:rFonts w:hint="default" w:ascii="Times New Roman" w:hAnsi="Times New Roman" w:eastAsia="宋体" w:cs="Times New Roman"/>
                <w:color w:val="auto"/>
                <w:kern w:val="0"/>
                <w:sz w:val="24"/>
                <w:szCs w:val="24"/>
                <w:lang w:val="en-US" w:eastAsia="zh-CN"/>
              </w:rPr>
              <w:t>6</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396BDD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val="en-US" w:eastAsia="zh-CN"/>
              </w:rPr>
              <w:t>6</w:t>
            </w:r>
          </w:p>
        </w:tc>
      </w:tr>
      <w:tr w14:paraId="003F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vMerge w:val="continue"/>
            <w:shd w:val="clear" w:color="auto" w:fill="auto"/>
            <w:noWrap/>
            <w:vAlign w:val="center"/>
          </w:tcPr>
          <w:p w14:paraId="4657F9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419" w:type="dxa"/>
            <w:vMerge w:val="continue"/>
            <w:shd w:val="clear" w:color="auto" w:fill="auto"/>
            <w:vAlign w:val="center"/>
          </w:tcPr>
          <w:p w14:paraId="04B2AB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7311" w:type="dxa"/>
            <w:shd w:val="clear" w:color="auto" w:fill="auto"/>
            <w:vAlign w:val="center"/>
          </w:tcPr>
          <w:p w14:paraId="57A5EDB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投标人具备信息系统建设和服务能力等级证书，提供证书</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，CS4级或以上得2分，CS3级或以下得1分，未提供不得分。</w:t>
            </w:r>
          </w:p>
        </w:tc>
        <w:tc>
          <w:tcPr>
            <w:tcW w:w="1143" w:type="dxa"/>
            <w:shd w:val="clear" w:color="auto" w:fill="auto"/>
            <w:vAlign w:val="center"/>
          </w:tcPr>
          <w:p w14:paraId="189587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r>
      <w:tr w14:paraId="7D71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A81A9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1419" w:type="dxa"/>
            <w:shd w:val="clear" w:color="auto" w:fill="auto"/>
            <w:vAlign w:val="center"/>
          </w:tcPr>
          <w:p w14:paraId="41C4E9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投入人员评价</w:t>
            </w:r>
          </w:p>
        </w:tc>
        <w:tc>
          <w:tcPr>
            <w:tcW w:w="7311" w:type="dxa"/>
            <w:shd w:val="clear" w:color="auto" w:fill="auto"/>
            <w:vAlign w:val="center"/>
          </w:tcPr>
          <w:p w14:paraId="240965D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投入的人员为投标单位正式员工，提供姓名、开标日前三个月中任意一个月的由投标单位为投入人员缴纳社会保险证明</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，否则不予认定加分。</w:t>
            </w:r>
          </w:p>
          <w:p w14:paraId="6D6C1F8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（1）项目经理具备</w:t>
            </w:r>
            <w:r>
              <w:rPr>
                <w:rFonts w:hint="eastAsia" w:cs="Times New Roman"/>
                <w:color w:val="auto"/>
                <w:kern w:val="0"/>
                <w:sz w:val="24"/>
                <w:szCs w:val="24"/>
                <w:lang w:val="en-US" w:eastAsia="zh-CN"/>
              </w:rPr>
              <w:t>工程技术系列高级或以上职称证书</w:t>
            </w:r>
            <w:r>
              <w:rPr>
                <w:rFonts w:hint="default" w:ascii="Times New Roman" w:hAnsi="Times New Roman" w:eastAsia="宋体" w:cs="Times New Roman"/>
                <w:color w:val="auto"/>
                <w:kern w:val="0"/>
                <w:sz w:val="24"/>
                <w:szCs w:val="24"/>
              </w:rPr>
              <w:t>（通信专业相关）、ITSS IT服务项目经理证书、注册信息安全专业人员（CISP）证书、</w:t>
            </w:r>
            <w:r>
              <w:rPr>
                <w:rFonts w:hint="default" w:ascii="Times New Roman" w:hAnsi="Times New Roman" w:eastAsia="宋体" w:cs="Times New Roman"/>
                <w:sz w:val="24"/>
                <w:szCs w:val="24"/>
              </w:rPr>
              <w:t>计算机技术与软件专业技术资格证书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kern w:val="0"/>
                <w:sz w:val="24"/>
                <w:szCs w:val="24"/>
              </w:rPr>
              <w:t>信息系统项目管理师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kern w:val="0"/>
                <w:sz w:val="24"/>
                <w:szCs w:val="24"/>
              </w:rPr>
              <w:t>、硕士学位证书，提供1份</w:t>
            </w:r>
            <w:r>
              <w:rPr>
                <w:rFonts w:hint="eastAsia" w:cs="Times New Roman"/>
                <w:color w:val="auto"/>
                <w:kern w:val="0"/>
                <w:sz w:val="24"/>
                <w:szCs w:val="24"/>
                <w:lang w:val="en-US" w:eastAsia="zh-CN"/>
              </w:rPr>
              <w:t>上述</w:t>
            </w:r>
            <w:r>
              <w:rPr>
                <w:rFonts w:hint="default" w:ascii="Times New Roman" w:hAnsi="Times New Roman" w:eastAsia="宋体" w:cs="Times New Roman"/>
                <w:color w:val="auto"/>
                <w:kern w:val="0"/>
                <w:sz w:val="24"/>
                <w:szCs w:val="24"/>
              </w:rPr>
              <w:t>证书</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得1分，最多</w:t>
            </w:r>
            <w:r>
              <w:rPr>
                <w:rFonts w:hint="default" w:ascii="Times New Roman" w:hAnsi="Times New Roman" w:eastAsia="宋体" w:cs="Times New Roman"/>
                <w:color w:val="auto"/>
                <w:kern w:val="0"/>
                <w:sz w:val="24"/>
                <w:szCs w:val="24"/>
                <w:lang w:val="en-US" w:eastAsia="zh-CN"/>
              </w:rPr>
              <w:t>5</w:t>
            </w:r>
            <w:r>
              <w:rPr>
                <w:rFonts w:hint="default" w:ascii="Times New Roman" w:hAnsi="Times New Roman" w:eastAsia="宋体" w:cs="Times New Roman"/>
                <w:color w:val="auto"/>
                <w:kern w:val="0"/>
                <w:sz w:val="24"/>
                <w:szCs w:val="24"/>
              </w:rPr>
              <w:t>分；</w:t>
            </w:r>
          </w:p>
          <w:p w14:paraId="22AC029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（2）服务人员（项目经理除外）具备</w:t>
            </w:r>
            <w:r>
              <w:rPr>
                <w:rFonts w:hint="default" w:ascii="Times New Roman" w:hAnsi="Times New Roman" w:eastAsia="宋体" w:cs="Times New Roman"/>
                <w:sz w:val="24"/>
                <w:szCs w:val="24"/>
              </w:rPr>
              <w:t>计算机技术与软件专业技术资格证书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kern w:val="0"/>
                <w:sz w:val="24"/>
                <w:szCs w:val="24"/>
              </w:rPr>
              <w:t>信息系统项目管理师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kern w:val="0"/>
                <w:sz w:val="24"/>
                <w:szCs w:val="24"/>
              </w:rPr>
              <w:t>、硕士学位证书，提供1份</w:t>
            </w:r>
            <w:r>
              <w:rPr>
                <w:rFonts w:hint="eastAsia" w:cs="Times New Roman"/>
                <w:color w:val="auto"/>
                <w:kern w:val="0"/>
                <w:sz w:val="24"/>
                <w:szCs w:val="24"/>
                <w:lang w:val="en-US" w:eastAsia="zh-CN"/>
              </w:rPr>
              <w:t>上述</w:t>
            </w:r>
            <w:r>
              <w:rPr>
                <w:rFonts w:hint="default" w:ascii="Times New Roman" w:hAnsi="Times New Roman" w:eastAsia="宋体" w:cs="Times New Roman"/>
                <w:color w:val="auto"/>
                <w:kern w:val="0"/>
                <w:sz w:val="24"/>
                <w:szCs w:val="24"/>
              </w:rPr>
              <w:t>证书</w:t>
            </w:r>
            <w:r>
              <w:rPr>
                <w:rFonts w:hint="default" w:ascii="Times New Roman" w:hAnsi="Times New Roman" w:eastAsia="宋体" w:cs="Times New Roman"/>
                <w:color w:val="auto"/>
                <w:kern w:val="0"/>
                <w:sz w:val="24"/>
                <w:szCs w:val="24"/>
                <w:lang w:eastAsia="zh-CN"/>
              </w:rPr>
              <w:t>电子件</w:t>
            </w:r>
            <w:r>
              <w:rPr>
                <w:rFonts w:hint="default" w:ascii="Times New Roman" w:hAnsi="Times New Roman" w:eastAsia="宋体" w:cs="Times New Roman"/>
                <w:color w:val="auto"/>
                <w:kern w:val="0"/>
                <w:sz w:val="24"/>
                <w:szCs w:val="24"/>
              </w:rPr>
              <w:t>得1分，最多</w:t>
            </w:r>
            <w:r>
              <w:rPr>
                <w:rFonts w:hint="default" w:ascii="Times New Roman" w:hAnsi="Times New Roman" w:eastAsia="宋体"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分；</w:t>
            </w:r>
          </w:p>
        </w:tc>
        <w:tc>
          <w:tcPr>
            <w:tcW w:w="1143" w:type="dxa"/>
            <w:shd w:val="clear" w:color="auto" w:fill="auto"/>
            <w:vAlign w:val="center"/>
          </w:tcPr>
          <w:p w14:paraId="3776E6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7</w:t>
            </w:r>
          </w:p>
        </w:tc>
      </w:tr>
      <w:tr w14:paraId="7F88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064939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w:t>
            </w:r>
          </w:p>
        </w:tc>
        <w:tc>
          <w:tcPr>
            <w:tcW w:w="1419" w:type="dxa"/>
            <w:shd w:val="clear" w:color="auto" w:fill="auto"/>
            <w:vAlign w:val="center"/>
          </w:tcPr>
          <w:p w14:paraId="673630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投标人承诺评价</w:t>
            </w:r>
          </w:p>
        </w:tc>
        <w:tc>
          <w:tcPr>
            <w:tcW w:w="7311" w:type="dxa"/>
            <w:shd w:val="clear" w:color="auto" w:fill="auto"/>
            <w:vAlign w:val="center"/>
          </w:tcPr>
          <w:p w14:paraId="1C203E5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承诺完全满足招标文件“报价要求”、“时间地点要求”、“付款方式要求”和技术要求中非“★”号要求的：</w:t>
            </w:r>
            <w:r>
              <w:rPr>
                <w:rFonts w:hint="default" w:ascii="Times New Roman" w:hAnsi="Times New Roman" w:eastAsia="宋体" w:cs="Times New Roman"/>
                <w:color w:val="auto"/>
                <w:kern w:val="0"/>
                <w:sz w:val="24"/>
                <w:szCs w:val="24"/>
                <w:lang w:val="en-US" w:eastAsia="zh-CN"/>
              </w:rPr>
              <w:t>9</w:t>
            </w:r>
            <w:r>
              <w:rPr>
                <w:rFonts w:hint="default" w:ascii="Times New Roman" w:hAnsi="Times New Roman" w:eastAsia="宋体" w:cs="Times New Roman"/>
                <w:color w:val="auto"/>
                <w:kern w:val="0"/>
                <w:sz w:val="24"/>
                <w:szCs w:val="24"/>
              </w:rPr>
              <w:t>分，其他0分。</w:t>
            </w:r>
          </w:p>
        </w:tc>
        <w:tc>
          <w:tcPr>
            <w:tcW w:w="1143" w:type="dxa"/>
            <w:shd w:val="clear" w:color="auto" w:fill="auto"/>
            <w:vAlign w:val="center"/>
          </w:tcPr>
          <w:p w14:paraId="292A5C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9</w:t>
            </w:r>
          </w:p>
        </w:tc>
      </w:tr>
      <w:tr w14:paraId="310B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71A2D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第三部分 主观分（60分）</w:t>
            </w:r>
          </w:p>
        </w:tc>
        <w:tc>
          <w:tcPr>
            <w:tcW w:w="1143" w:type="dxa"/>
            <w:shd w:val="clear" w:color="auto" w:fill="auto"/>
            <w:vAlign w:val="center"/>
          </w:tcPr>
          <w:p w14:paraId="3EE48E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分值</w:t>
            </w:r>
          </w:p>
        </w:tc>
      </w:tr>
      <w:tr w14:paraId="0AD3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3EC26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419" w:type="dxa"/>
            <w:shd w:val="clear" w:color="auto" w:fill="auto"/>
            <w:vAlign w:val="center"/>
          </w:tcPr>
          <w:p w14:paraId="778A77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话务系统服务方案评价</w:t>
            </w:r>
          </w:p>
        </w:tc>
        <w:tc>
          <w:tcPr>
            <w:tcW w:w="7311" w:type="dxa"/>
            <w:shd w:val="clear" w:color="auto" w:fill="auto"/>
            <w:vAlign w:val="center"/>
          </w:tcPr>
          <w:p w14:paraId="59A22AA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sz w:val="24"/>
                <w:szCs w:val="24"/>
                <w:lang w:val="en-US" w:eastAsia="zh-CN"/>
              </w:rPr>
              <w:t>总体架构设计、系统部署方案、项目保障方案等内容</w:t>
            </w:r>
          </w:p>
          <w:p w14:paraId="0234C8EB">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2590A7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511CD2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1199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9830F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419" w:type="dxa"/>
            <w:shd w:val="clear" w:color="auto" w:fill="auto"/>
            <w:vAlign w:val="center"/>
          </w:tcPr>
          <w:p w14:paraId="6675E0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软电话接续汇接系统适配方案评价</w:t>
            </w:r>
          </w:p>
        </w:tc>
        <w:tc>
          <w:tcPr>
            <w:tcW w:w="7311" w:type="dxa"/>
            <w:shd w:val="clear" w:color="auto" w:fill="auto"/>
            <w:vAlign w:val="center"/>
          </w:tcPr>
          <w:p w14:paraId="524A7E3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kern w:val="0"/>
                <w:sz w:val="24"/>
                <w:szCs w:val="24"/>
                <w:lang w:val="en-US" w:eastAsia="zh-CN"/>
              </w:rPr>
              <w:t>需求分析、解决方案等内容</w:t>
            </w:r>
          </w:p>
          <w:p w14:paraId="39811BAA">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4CB0074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0CFAB9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1215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D49CD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1419" w:type="dxa"/>
            <w:shd w:val="clear" w:color="auto" w:fill="auto"/>
            <w:vAlign w:val="center"/>
          </w:tcPr>
          <w:p w14:paraId="57D96F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工单系统适配方案评价</w:t>
            </w:r>
          </w:p>
        </w:tc>
        <w:tc>
          <w:tcPr>
            <w:tcW w:w="7311" w:type="dxa"/>
            <w:shd w:val="clear" w:color="auto" w:fill="auto"/>
            <w:vAlign w:val="center"/>
          </w:tcPr>
          <w:p w14:paraId="00CDE5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kern w:val="0"/>
                <w:sz w:val="24"/>
                <w:szCs w:val="24"/>
                <w:lang w:val="en-US" w:eastAsia="zh-CN"/>
              </w:rPr>
              <w:t>需求分析、解决方案等内容</w:t>
            </w:r>
          </w:p>
          <w:p w14:paraId="37898B83">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10F4489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221426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6B6B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663" w:type="dxa"/>
            <w:shd w:val="clear" w:color="auto" w:fill="auto"/>
            <w:noWrap/>
            <w:vAlign w:val="center"/>
          </w:tcPr>
          <w:p w14:paraId="110929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w:t>
            </w:r>
          </w:p>
        </w:tc>
        <w:tc>
          <w:tcPr>
            <w:tcW w:w="1419" w:type="dxa"/>
            <w:shd w:val="clear" w:color="auto" w:fill="auto"/>
            <w:vAlign w:val="center"/>
          </w:tcPr>
          <w:p w14:paraId="7B7AD8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云桌面服务方案评价</w:t>
            </w:r>
          </w:p>
        </w:tc>
        <w:tc>
          <w:tcPr>
            <w:tcW w:w="7311" w:type="dxa"/>
            <w:shd w:val="clear" w:color="auto" w:fill="auto"/>
            <w:vAlign w:val="center"/>
          </w:tcPr>
          <w:p w14:paraId="41E07A2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kern w:val="0"/>
                <w:sz w:val="24"/>
                <w:szCs w:val="24"/>
                <w:lang w:val="en-US" w:eastAsia="zh-CN"/>
              </w:rPr>
              <w:t>需求分析、解决方案等内容</w:t>
            </w:r>
          </w:p>
          <w:p w14:paraId="1B3217F7">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1235A2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44DBC2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78E8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4B613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w:t>
            </w:r>
          </w:p>
        </w:tc>
        <w:tc>
          <w:tcPr>
            <w:tcW w:w="1419" w:type="dxa"/>
            <w:shd w:val="clear" w:color="auto" w:fill="auto"/>
            <w:vAlign w:val="center"/>
          </w:tcPr>
          <w:p w14:paraId="59EC25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基础配套服务方案评价</w:t>
            </w:r>
          </w:p>
        </w:tc>
        <w:tc>
          <w:tcPr>
            <w:tcW w:w="7311" w:type="dxa"/>
            <w:shd w:val="clear" w:color="auto" w:fill="auto"/>
            <w:vAlign w:val="center"/>
          </w:tcPr>
          <w:p w14:paraId="460FA6C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至少包含</w:t>
            </w:r>
            <w:r>
              <w:rPr>
                <w:rFonts w:hint="default" w:ascii="Times New Roman" w:hAnsi="Times New Roman" w:eastAsia="宋体" w:cs="Times New Roman"/>
                <w:color w:val="auto"/>
                <w:kern w:val="0"/>
                <w:sz w:val="24"/>
                <w:szCs w:val="24"/>
                <w:lang w:val="en-US" w:eastAsia="zh-CN"/>
              </w:rPr>
              <w:t>机房配套服务方案、链路服务方案等内容</w:t>
            </w:r>
          </w:p>
          <w:p w14:paraId="26EEB25F">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5049ED4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190D66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3F70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4D27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w:t>
            </w:r>
          </w:p>
        </w:tc>
        <w:tc>
          <w:tcPr>
            <w:tcW w:w="1419" w:type="dxa"/>
            <w:shd w:val="clear" w:color="auto" w:fill="auto"/>
            <w:vAlign w:val="center"/>
          </w:tcPr>
          <w:p w14:paraId="2DBF89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业务连续性方案评价</w:t>
            </w:r>
          </w:p>
        </w:tc>
        <w:tc>
          <w:tcPr>
            <w:tcW w:w="7311" w:type="dxa"/>
            <w:shd w:val="clear" w:color="auto" w:fill="auto"/>
            <w:vAlign w:val="center"/>
          </w:tcPr>
          <w:p w14:paraId="0FF0AFC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kern w:val="0"/>
                <w:sz w:val="24"/>
                <w:szCs w:val="24"/>
                <w:lang w:val="en-US" w:eastAsia="zh-CN"/>
              </w:rPr>
              <w:t>话务系统、软电话接续汇接系统、工单系统、云桌面、基础配套服务等对应的</w:t>
            </w:r>
            <w:r>
              <w:rPr>
                <w:rFonts w:hint="default" w:ascii="Times New Roman" w:hAnsi="Times New Roman" w:eastAsia="宋体" w:cs="Times New Roman"/>
                <w:color w:val="auto"/>
                <w:sz w:val="24"/>
                <w:szCs w:val="24"/>
              </w:rPr>
              <w:t>业务连续性方案</w:t>
            </w:r>
          </w:p>
          <w:p w14:paraId="568FD571">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63A2E71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25468C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r>
      <w:tr w14:paraId="23E7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55768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w:t>
            </w:r>
          </w:p>
        </w:tc>
        <w:tc>
          <w:tcPr>
            <w:tcW w:w="1419" w:type="dxa"/>
            <w:shd w:val="clear" w:color="auto" w:fill="auto"/>
            <w:vAlign w:val="center"/>
          </w:tcPr>
          <w:p w14:paraId="106904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rPr>
              <w:t>培训方案评价</w:t>
            </w:r>
          </w:p>
        </w:tc>
        <w:tc>
          <w:tcPr>
            <w:tcW w:w="7311" w:type="dxa"/>
            <w:shd w:val="clear" w:color="auto" w:fill="auto"/>
            <w:vAlign w:val="center"/>
          </w:tcPr>
          <w:p w14:paraId="6EB1C2E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rPr>
              <w:t>至少包含</w:t>
            </w:r>
            <w:r>
              <w:rPr>
                <w:rFonts w:hint="default" w:ascii="Times New Roman" w:hAnsi="Times New Roman" w:eastAsia="宋体" w:cs="Times New Roman"/>
                <w:color w:val="auto"/>
                <w:kern w:val="0"/>
                <w:sz w:val="24"/>
                <w:szCs w:val="24"/>
                <w:lang w:val="en-US" w:eastAsia="zh-CN"/>
              </w:rPr>
              <w:t>培训目标、培训方式、培训内容等内容</w:t>
            </w:r>
          </w:p>
          <w:p w14:paraId="7A76F8D7">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2630F6E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00D196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w:t>
            </w:r>
          </w:p>
        </w:tc>
      </w:tr>
      <w:tr w14:paraId="74CB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4DE47D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合计</w:t>
            </w:r>
          </w:p>
        </w:tc>
        <w:tc>
          <w:tcPr>
            <w:tcW w:w="1143" w:type="dxa"/>
            <w:shd w:val="clear" w:color="auto" w:fill="auto"/>
            <w:vAlign w:val="center"/>
          </w:tcPr>
          <w:p w14:paraId="33E12D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100</w:t>
            </w:r>
          </w:p>
        </w:tc>
      </w:tr>
    </w:tbl>
    <w:p w14:paraId="140C002F">
      <w:pPr>
        <w:spacing w:line="360" w:lineRule="auto"/>
        <w:ind w:firstLine="448" w:firstLineChars="200"/>
        <w:outlineLvl w:val="0"/>
        <w:rPr>
          <w:sz w:val="24"/>
        </w:rPr>
      </w:pPr>
      <w:r>
        <w:rPr>
          <w:rFonts w:hint="eastAsia"/>
          <w:sz w:val="24"/>
        </w:rPr>
        <w:t>第二包</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57D9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A563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第一部分 价格（10分）</w:t>
            </w:r>
          </w:p>
        </w:tc>
        <w:tc>
          <w:tcPr>
            <w:tcW w:w="1143" w:type="dxa"/>
            <w:shd w:val="clear" w:color="auto" w:fill="auto"/>
            <w:vAlign w:val="center"/>
          </w:tcPr>
          <w:p w14:paraId="09599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分值</w:t>
            </w:r>
          </w:p>
        </w:tc>
      </w:tr>
      <w:tr w14:paraId="0F16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3AD56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1419" w:type="dxa"/>
            <w:shd w:val="clear" w:color="auto" w:fill="auto"/>
            <w:vAlign w:val="center"/>
          </w:tcPr>
          <w:p w14:paraId="142E5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价格</w:t>
            </w:r>
          </w:p>
        </w:tc>
        <w:tc>
          <w:tcPr>
            <w:tcW w:w="7311" w:type="dxa"/>
            <w:shd w:val="clear" w:color="auto" w:fill="auto"/>
            <w:vAlign w:val="center"/>
          </w:tcPr>
          <w:p w14:paraId="3E63582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（1）投标报价超过采购预算的，投标无效，未超过采购预算的投标报价按以下公式进行计算。</w:t>
            </w:r>
          </w:p>
          <w:p w14:paraId="464215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（2）投标报价得分=（评标基准价/投标报价）×10</w:t>
            </w:r>
          </w:p>
          <w:p w14:paraId="49C8C4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注：满足招标文件要求且投标报价最低的投标报价为评标基准价。</w:t>
            </w:r>
          </w:p>
        </w:tc>
        <w:tc>
          <w:tcPr>
            <w:tcW w:w="1143" w:type="dxa"/>
            <w:shd w:val="clear" w:color="auto" w:fill="auto"/>
            <w:vAlign w:val="center"/>
          </w:tcPr>
          <w:p w14:paraId="00C250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10</w:t>
            </w:r>
          </w:p>
        </w:tc>
      </w:tr>
      <w:tr w14:paraId="5248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57E5A5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第二部分 客观分（30分）</w:t>
            </w:r>
          </w:p>
        </w:tc>
        <w:tc>
          <w:tcPr>
            <w:tcW w:w="1143" w:type="dxa"/>
            <w:shd w:val="clear" w:color="auto" w:fill="auto"/>
            <w:vAlign w:val="center"/>
          </w:tcPr>
          <w:p w14:paraId="37AFF1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分值</w:t>
            </w:r>
          </w:p>
        </w:tc>
      </w:tr>
      <w:tr w14:paraId="545E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95969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419" w:type="dxa"/>
            <w:shd w:val="clear" w:color="auto" w:fill="auto"/>
            <w:vAlign w:val="center"/>
          </w:tcPr>
          <w:p w14:paraId="3F2EAC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投标人业绩</w:t>
            </w:r>
          </w:p>
        </w:tc>
        <w:tc>
          <w:tcPr>
            <w:tcW w:w="7311" w:type="dxa"/>
            <w:shd w:val="clear" w:color="auto" w:fill="auto"/>
            <w:vAlign w:val="center"/>
          </w:tcPr>
          <w:p w14:paraId="3DCA05A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完全按照以下要求提供信息系统监理的案例，提供的证明材料均不得遮挡涂黑，否则不予认定加分。</w:t>
            </w:r>
          </w:p>
          <w:p w14:paraId="62DA572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kern w:val="0"/>
                <w:sz w:val="24"/>
                <w:szCs w:val="24"/>
              </w:rPr>
              <w:t>A. 合同</w:t>
            </w:r>
            <w:r>
              <w:rPr>
                <w:rFonts w:hint="default" w:ascii="Times New Roman" w:hAnsi="Times New Roman" w:eastAsia="宋体" w:cs="Times New Roman"/>
                <w:color w:val="auto"/>
                <w:kern w:val="0"/>
                <w:sz w:val="24"/>
                <w:szCs w:val="24"/>
              </w:rPr>
              <w:t>原件扫描件（合同</w:t>
            </w:r>
            <w:r>
              <w:rPr>
                <w:rFonts w:hint="default" w:ascii="Times New Roman" w:hAnsi="Times New Roman" w:eastAsia="宋体" w:cs="Times New Roman"/>
                <w:color w:val="auto"/>
                <w:kern w:val="0"/>
                <w:sz w:val="24"/>
                <w:szCs w:val="24"/>
                <w:lang w:val="en-US" w:eastAsia="zh-CN"/>
              </w:rPr>
              <w:t>签订时间应</w:t>
            </w:r>
            <w:r>
              <w:rPr>
                <w:rFonts w:hint="default" w:ascii="Times New Roman" w:hAnsi="Times New Roman" w:eastAsia="宋体" w:cs="Times New Roman"/>
                <w:color w:val="auto"/>
                <w:kern w:val="0"/>
                <w:sz w:val="24"/>
                <w:szCs w:val="24"/>
              </w:rPr>
              <w:t>为202</w:t>
            </w:r>
            <w:r>
              <w:rPr>
                <w:rFonts w:hint="eastAsia" w:cs="Times New Roman"/>
                <w:color w:val="auto"/>
                <w:kern w:val="0"/>
                <w:sz w:val="24"/>
                <w:szCs w:val="24"/>
                <w:lang w:val="en-US" w:eastAsia="zh-CN"/>
              </w:rPr>
              <w:t>3</w:t>
            </w:r>
            <w:r>
              <w:rPr>
                <w:rFonts w:hint="default" w:ascii="Times New Roman" w:hAnsi="Times New Roman" w:eastAsia="宋体" w:cs="Times New Roman"/>
                <w:color w:val="auto"/>
                <w:kern w:val="0"/>
                <w:sz w:val="24"/>
                <w:szCs w:val="24"/>
              </w:rPr>
              <w:t>年1月1日或以后）。包括合同金额、买卖双方名称及盖章、服务内容。</w:t>
            </w:r>
          </w:p>
          <w:p w14:paraId="0BF6BDD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B. 上述合同履行良好的相关证明材料原件扫描件（加盖上述合同甲方单位公章或上述合同甲方印章）。</w:t>
            </w:r>
          </w:p>
          <w:p w14:paraId="433FECD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每个案例2分，最多6分</w:t>
            </w:r>
          </w:p>
        </w:tc>
        <w:tc>
          <w:tcPr>
            <w:tcW w:w="1143" w:type="dxa"/>
            <w:shd w:val="clear" w:color="auto" w:fill="auto"/>
            <w:vAlign w:val="center"/>
          </w:tcPr>
          <w:p w14:paraId="0E8091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r>
      <w:tr w14:paraId="2F8C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A55CA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419" w:type="dxa"/>
            <w:shd w:val="clear" w:color="auto" w:fill="auto"/>
            <w:vAlign w:val="center"/>
          </w:tcPr>
          <w:p w14:paraId="45047A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投标人相关证书评价</w:t>
            </w:r>
          </w:p>
        </w:tc>
        <w:tc>
          <w:tcPr>
            <w:tcW w:w="7311" w:type="dxa"/>
            <w:shd w:val="clear" w:color="auto" w:fill="auto"/>
            <w:vAlign w:val="center"/>
          </w:tcPr>
          <w:p w14:paraId="64CFCFC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若投标人具备质量管理体系认证证书，职业健康安全管理体系认证证书，提供1份证书扫描件得2份，最多4分。</w:t>
            </w:r>
          </w:p>
        </w:tc>
        <w:tc>
          <w:tcPr>
            <w:tcW w:w="1143" w:type="dxa"/>
            <w:shd w:val="clear" w:color="auto" w:fill="auto"/>
            <w:vAlign w:val="center"/>
          </w:tcPr>
          <w:p w14:paraId="68A847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r>
      <w:tr w14:paraId="311A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2F502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1419" w:type="dxa"/>
            <w:shd w:val="clear" w:color="auto" w:fill="auto"/>
            <w:vAlign w:val="center"/>
          </w:tcPr>
          <w:p w14:paraId="5401E5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总监理工程师评价</w:t>
            </w:r>
          </w:p>
        </w:tc>
        <w:tc>
          <w:tcPr>
            <w:tcW w:w="7311" w:type="dxa"/>
            <w:shd w:val="clear" w:color="auto" w:fill="auto"/>
            <w:vAlign w:val="center"/>
          </w:tcPr>
          <w:p w14:paraId="70D247A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投标人须为本项目任命一位总监理工程师，为投标单位正式员工，提供人员姓名、信息系统监理师证书、开标前3个月内任意1个月的由投标单位为该人员缴纳社会保险证明扫描件，否则不予认定加分。</w:t>
            </w:r>
          </w:p>
          <w:p w14:paraId="31B7687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具备</w:t>
            </w:r>
            <w:r>
              <w:rPr>
                <w:rFonts w:hint="default" w:ascii="Times New Roman" w:hAnsi="Times New Roman" w:eastAsia="宋体" w:cs="Times New Roman"/>
                <w:sz w:val="24"/>
                <w:szCs w:val="24"/>
              </w:rPr>
              <w:t>计算机技术与软件专业技术资格证书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auto"/>
                <w:kern w:val="0"/>
                <w:sz w:val="24"/>
                <w:szCs w:val="24"/>
              </w:rPr>
              <w:t>信息系统项目管理师</w:t>
            </w:r>
            <w:r>
              <w:rPr>
                <w:rFonts w:hint="default" w:ascii="Times New Roman" w:hAnsi="Times New Roman" w:eastAsia="宋体" w:cs="Times New Roman"/>
                <w:sz w:val="24"/>
                <w:szCs w:val="24"/>
                <w:lang w:eastAsia="zh-CN"/>
              </w:rPr>
              <w:t>）</w:t>
            </w:r>
            <w:r>
              <w:rPr>
                <w:rFonts w:hint="eastAsia" w:cs="Times New Roman"/>
                <w:sz w:val="24"/>
                <w:szCs w:val="24"/>
                <w:lang w:eastAsia="zh-CN"/>
              </w:rPr>
              <w:t>、</w:t>
            </w:r>
            <w:r>
              <w:rPr>
                <w:rFonts w:hint="eastAsia" w:cs="Times New Roman"/>
                <w:color w:val="auto"/>
                <w:kern w:val="0"/>
                <w:sz w:val="24"/>
                <w:szCs w:val="24"/>
                <w:lang w:val="en-US" w:eastAsia="zh-CN"/>
              </w:rPr>
              <w:t>工程技术系列高级或以上职称证书</w:t>
            </w:r>
            <w:r>
              <w:rPr>
                <w:rFonts w:hint="default" w:ascii="Times New Roman" w:hAnsi="Times New Roman" w:eastAsia="宋体" w:cs="Times New Roman"/>
                <w:kern w:val="0"/>
                <w:sz w:val="24"/>
                <w:szCs w:val="24"/>
              </w:rPr>
              <w:t>（</w:t>
            </w:r>
            <w:r>
              <w:rPr>
                <w:rFonts w:hint="default" w:ascii="Times New Roman" w:hAnsi="Times New Roman" w:eastAsia="宋体" w:cs="Times New Roman"/>
                <w:sz w:val="24"/>
                <w:szCs w:val="24"/>
              </w:rPr>
              <w:t>计算机或电子信息专业</w:t>
            </w:r>
            <w:r>
              <w:rPr>
                <w:rFonts w:hint="default" w:ascii="Times New Roman" w:hAnsi="Times New Roman" w:eastAsia="宋体" w:cs="Times New Roman"/>
                <w:kern w:val="0"/>
                <w:sz w:val="24"/>
                <w:szCs w:val="24"/>
              </w:rPr>
              <w:t>），注册信息安全专业人员（CISP）证书，提供1份证书扫描件得2分，最多6分</w:t>
            </w:r>
          </w:p>
        </w:tc>
        <w:tc>
          <w:tcPr>
            <w:tcW w:w="1143" w:type="dxa"/>
            <w:shd w:val="clear" w:color="auto" w:fill="auto"/>
            <w:vAlign w:val="center"/>
          </w:tcPr>
          <w:p w14:paraId="2F3BD6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r>
      <w:tr w14:paraId="5A0B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5B660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1419" w:type="dxa"/>
            <w:shd w:val="clear" w:color="auto" w:fill="auto"/>
            <w:vAlign w:val="center"/>
          </w:tcPr>
          <w:p w14:paraId="03CFA5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总监理工程师代表评价</w:t>
            </w:r>
          </w:p>
        </w:tc>
        <w:tc>
          <w:tcPr>
            <w:tcW w:w="7311" w:type="dxa"/>
            <w:shd w:val="clear" w:color="auto" w:fill="auto"/>
            <w:vAlign w:val="center"/>
          </w:tcPr>
          <w:p w14:paraId="41B7913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投标人须为本项目任命一位总监理工程师代表，为投标单位正式员工，提供人员姓名、信息系统监理师证书、开标前3个月内任意1个月的由投标单位为该人员缴纳社会保险证明扫描件，否则不予认定加分。</w:t>
            </w:r>
          </w:p>
          <w:p w14:paraId="26F914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具</w:t>
            </w:r>
            <w:r>
              <w:rPr>
                <w:rFonts w:hint="default" w:ascii="Times New Roman" w:hAnsi="Times New Roman" w:eastAsia="宋体" w:cs="Times New Roman"/>
                <w:kern w:val="0"/>
                <w:sz w:val="24"/>
                <w:szCs w:val="24"/>
                <w:lang w:val="en-US" w:eastAsia="zh-CN"/>
              </w:rPr>
              <w:t>备</w:t>
            </w:r>
            <w:r>
              <w:rPr>
                <w:rFonts w:hint="eastAsia" w:ascii="Times New Roman" w:hAnsi="Times New Roman" w:eastAsia="宋体" w:cs="Times New Roman"/>
                <w:kern w:val="0"/>
                <w:sz w:val="24"/>
                <w:szCs w:val="24"/>
                <w:lang w:val="en-US" w:eastAsia="zh-CN"/>
              </w:rPr>
              <w:t>工程技术系列高级或以上职称证书</w:t>
            </w:r>
            <w:r>
              <w:rPr>
                <w:rFonts w:hint="default" w:ascii="Times New Roman" w:hAnsi="Times New Roman" w:eastAsia="宋体" w:cs="Times New Roman"/>
                <w:kern w:val="0"/>
                <w:sz w:val="24"/>
                <w:szCs w:val="24"/>
              </w:rPr>
              <w:t>（计算机或电子信息专业）</w:t>
            </w:r>
            <w:r>
              <w:rPr>
                <w:rFonts w:hint="eastAsia"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rPr>
              <w:t>信息系统审计师（ISA）</w:t>
            </w:r>
            <w:r>
              <w:rPr>
                <w:rFonts w:hint="default" w:ascii="Times New Roman" w:hAnsi="Times New Roman" w:eastAsia="宋体" w:cs="Times New Roman"/>
                <w:kern w:val="0"/>
                <w:sz w:val="24"/>
                <w:szCs w:val="24"/>
              </w:rPr>
              <w:t>，提供1份证书扫描件得2分，最多</w:t>
            </w:r>
            <w:r>
              <w:rPr>
                <w:rFonts w:hint="eastAsia" w:cs="Times New Roman"/>
                <w:kern w:val="0"/>
                <w:sz w:val="24"/>
                <w:szCs w:val="24"/>
                <w:lang w:val="en-US" w:eastAsia="zh-CN"/>
              </w:rPr>
              <w:t>4</w:t>
            </w:r>
            <w:r>
              <w:rPr>
                <w:rFonts w:hint="default" w:ascii="Times New Roman" w:hAnsi="Times New Roman" w:eastAsia="宋体" w:cs="Times New Roman"/>
                <w:kern w:val="0"/>
                <w:sz w:val="24"/>
                <w:szCs w:val="24"/>
              </w:rPr>
              <w:t>分</w:t>
            </w:r>
            <w:r>
              <w:rPr>
                <w:rFonts w:hint="eastAsia" w:cs="Times New Roman"/>
                <w:kern w:val="0"/>
                <w:sz w:val="24"/>
                <w:szCs w:val="24"/>
                <w:lang w:eastAsia="zh-CN"/>
              </w:rPr>
              <w:t>。</w:t>
            </w:r>
          </w:p>
        </w:tc>
        <w:tc>
          <w:tcPr>
            <w:tcW w:w="1143" w:type="dxa"/>
            <w:shd w:val="clear" w:color="auto" w:fill="auto"/>
            <w:vAlign w:val="center"/>
          </w:tcPr>
          <w:p w14:paraId="5C836C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4"/>
                <w:szCs w:val="24"/>
                <w:lang w:eastAsia="zh-CN"/>
              </w:rPr>
            </w:pPr>
            <w:r>
              <w:rPr>
                <w:rFonts w:hint="eastAsia" w:cs="Times New Roman"/>
                <w:sz w:val="24"/>
                <w:szCs w:val="24"/>
                <w:lang w:val="en-US" w:eastAsia="zh-CN"/>
              </w:rPr>
              <w:t>4</w:t>
            </w:r>
          </w:p>
        </w:tc>
      </w:tr>
      <w:tr w14:paraId="1F14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1B4121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1419" w:type="dxa"/>
            <w:shd w:val="clear" w:color="auto" w:fill="auto"/>
            <w:vAlign w:val="center"/>
          </w:tcPr>
          <w:p w14:paraId="1CA229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监理团队其他成员评价</w:t>
            </w:r>
          </w:p>
        </w:tc>
        <w:tc>
          <w:tcPr>
            <w:tcW w:w="7311" w:type="dxa"/>
            <w:shd w:val="clear" w:color="auto" w:fill="auto"/>
            <w:vAlign w:val="center"/>
          </w:tcPr>
          <w:p w14:paraId="52657DD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投入的监理团队成员为投标单位正式员工，提供人员姓名、信息系统监理师证书、开标前3个月内任意1个月的由投标单位为该人员缴纳社会保险证明扫描件，否则不予认定加分。</w:t>
            </w:r>
          </w:p>
          <w:p w14:paraId="599A587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具有注册信息安全专业人员（CISP）</w:t>
            </w:r>
            <w:r>
              <w:rPr>
                <w:rFonts w:hint="eastAsia" w:ascii="Times New Roman" w:hAnsi="Times New Roman" w:eastAsia="宋体" w:cs="Times New Roman"/>
                <w:kern w:val="0"/>
                <w:sz w:val="24"/>
                <w:szCs w:val="24"/>
                <w:lang w:val="en-US" w:eastAsia="zh-CN"/>
              </w:rPr>
              <w:t>证书、</w:t>
            </w:r>
            <w:r>
              <w:rPr>
                <w:rFonts w:hint="default" w:ascii="Times New Roman" w:hAnsi="Times New Roman" w:eastAsia="宋体" w:cs="Times New Roman"/>
                <w:kern w:val="0"/>
                <w:sz w:val="24"/>
                <w:szCs w:val="24"/>
              </w:rPr>
              <w:t>计算机技术与软件专业技术资格证书</w:t>
            </w:r>
            <w:r>
              <w:rPr>
                <w:rFonts w:hint="default"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软件评测师</w:t>
            </w:r>
            <w:r>
              <w:rPr>
                <w:rFonts w:hint="default" w:ascii="Times New Roman" w:hAnsi="Times New Roman" w:eastAsia="宋体" w:cs="Times New Roman"/>
                <w:kern w:val="0"/>
                <w:sz w:val="24"/>
                <w:szCs w:val="24"/>
                <w:lang w:eastAsia="zh-CN"/>
              </w:rPr>
              <w:t>）</w:t>
            </w:r>
            <w:r>
              <w:rPr>
                <w:rFonts w:hint="eastAsia" w:ascii="Times New Roman" w:hAnsi="Times New Roman" w:eastAsia="宋体" w:cs="Times New Roman"/>
                <w:kern w:val="0"/>
                <w:sz w:val="24"/>
                <w:szCs w:val="24"/>
                <w:lang w:eastAsia="zh-CN"/>
              </w:rPr>
              <w:t>、</w:t>
            </w:r>
            <w:r>
              <w:rPr>
                <w:rFonts w:hint="default" w:ascii="Times New Roman" w:hAnsi="Times New Roman" w:eastAsia="宋体" w:cs="Times New Roman"/>
                <w:kern w:val="0"/>
                <w:sz w:val="24"/>
                <w:szCs w:val="24"/>
              </w:rPr>
              <w:t>信息安全保障人员认证（CISAW），提供1</w:t>
            </w:r>
            <w:r>
              <w:rPr>
                <w:rFonts w:hint="eastAsia" w:cs="Times New Roman"/>
                <w:kern w:val="0"/>
                <w:sz w:val="24"/>
                <w:szCs w:val="24"/>
                <w:lang w:val="en-US" w:eastAsia="zh-CN"/>
              </w:rPr>
              <w:t>种</w:t>
            </w:r>
            <w:r>
              <w:rPr>
                <w:rFonts w:hint="default" w:ascii="Times New Roman" w:hAnsi="Times New Roman" w:eastAsia="宋体" w:cs="Times New Roman"/>
                <w:kern w:val="0"/>
                <w:sz w:val="24"/>
                <w:szCs w:val="24"/>
              </w:rPr>
              <w:t>证书扫描件得2分，最多</w:t>
            </w:r>
            <w:r>
              <w:rPr>
                <w:rFonts w:hint="eastAsia" w:cs="Times New Roman"/>
                <w:kern w:val="0"/>
                <w:sz w:val="24"/>
                <w:szCs w:val="24"/>
                <w:lang w:val="en-US" w:eastAsia="zh-CN"/>
              </w:rPr>
              <w:t>6</w:t>
            </w:r>
            <w:r>
              <w:rPr>
                <w:rFonts w:hint="default" w:ascii="Times New Roman" w:hAnsi="Times New Roman" w:eastAsia="宋体" w:cs="Times New Roman"/>
                <w:kern w:val="0"/>
                <w:sz w:val="24"/>
                <w:szCs w:val="24"/>
              </w:rPr>
              <w:t>分</w:t>
            </w:r>
          </w:p>
          <w:p w14:paraId="58A3FD3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注：1人持多证不重复计分</w:t>
            </w:r>
          </w:p>
        </w:tc>
        <w:tc>
          <w:tcPr>
            <w:tcW w:w="1143" w:type="dxa"/>
            <w:shd w:val="clear" w:color="auto" w:fill="auto"/>
            <w:vAlign w:val="center"/>
          </w:tcPr>
          <w:p w14:paraId="25019C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4"/>
                <w:szCs w:val="24"/>
                <w:lang w:eastAsia="zh-CN"/>
              </w:rPr>
            </w:pPr>
            <w:r>
              <w:rPr>
                <w:rFonts w:hint="eastAsia" w:cs="Times New Roman"/>
                <w:sz w:val="24"/>
                <w:szCs w:val="24"/>
                <w:lang w:val="en-US" w:eastAsia="zh-CN"/>
              </w:rPr>
              <w:t>6</w:t>
            </w:r>
          </w:p>
        </w:tc>
      </w:tr>
      <w:tr w14:paraId="2AB2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2CE00B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1419" w:type="dxa"/>
            <w:shd w:val="clear" w:color="auto" w:fill="auto"/>
            <w:vAlign w:val="center"/>
          </w:tcPr>
          <w:p w14:paraId="1FE0D0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投标人承诺评价</w:t>
            </w:r>
          </w:p>
        </w:tc>
        <w:tc>
          <w:tcPr>
            <w:tcW w:w="7311" w:type="dxa"/>
            <w:shd w:val="clear" w:color="auto" w:fill="auto"/>
            <w:vAlign w:val="center"/>
          </w:tcPr>
          <w:p w14:paraId="080AE75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承诺完全满足招标文件“报价要求”、“时间地点要求”、“付款方式要求”和技术要求中非“★”号要求的：</w:t>
            </w:r>
            <w:r>
              <w:rPr>
                <w:rFonts w:hint="eastAsia" w:cs="Times New Roman"/>
                <w:kern w:val="0"/>
                <w:sz w:val="24"/>
                <w:szCs w:val="24"/>
                <w:lang w:val="en-US" w:eastAsia="zh-CN"/>
              </w:rPr>
              <w:t>4</w:t>
            </w:r>
            <w:r>
              <w:rPr>
                <w:rFonts w:hint="default" w:ascii="Times New Roman" w:hAnsi="Times New Roman" w:eastAsia="宋体" w:cs="Times New Roman"/>
                <w:kern w:val="0"/>
                <w:sz w:val="24"/>
                <w:szCs w:val="24"/>
              </w:rPr>
              <w:t>分，其他0分。</w:t>
            </w:r>
          </w:p>
        </w:tc>
        <w:tc>
          <w:tcPr>
            <w:tcW w:w="1143" w:type="dxa"/>
            <w:shd w:val="clear" w:color="auto" w:fill="auto"/>
            <w:vAlign w:val="center"/>
          </w:tcPr>
          <w:p w14:paraId="36E0B8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imes New Roman"/>
                <w:sz w:val="24"/>
                <w:szCs w:val="24"/>
                <w:lang w:eastAsia="zh-CN"/>
              </w:rPr>
            </w:pPr>
            <w:r>
              <w:rPr>
                <w:rFonts w:hint="eastAsia" w:cs="Times New Roman"/>
                <w:sz w:val="24"/>
                <w:szCs w:val="24"/>
                <w:lang w:val="en-US" w:eastAsia="zh-CN"/>
              </w:rPr>
              <w:t>4</w:t>
            </w:r>
          </w:p>
        </w:tc>
      </w:tr>
      <w:tr w14:paraId="2993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081EE8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第三部分 主观分（60分）</w:t>
            </w:r>
          </w:p>
        </w:tc>
        <w:tc>
          <w:tcPr>
            <w:tcW w:w="1143" w:type="dxa"/>
            <w:shd w:val="clear" w:color="auto" w:fill="auto"/>
            <w:vAlign w:val="center"/>
          </w:tcPr>
          <w:p w14:paraId="44EA19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分值</w:t>
            </w:r>
          </w:p>
        </w:tc>
      </w:tr>
      <w:tr w14:paraId="3F6E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29B55E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w:t>
            </w:r>
          </w:p>
        </w:tc>
        <w:tc>
          <w:tcPr>
            <w:tcW w:w="1419" w:type="dxa"/>
            <w:shd w:val="clear" w:color="auto" w:fill="auto"/>
            <w:vAlign w:val="center"/>
          </w:tcPr>
          <w:p w14:paraId="322F32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总体监理方案评价</w:t>
            </w:r>
          </w:p>
        </w:tc>
        <w:tc>
          <w:tcPr>
            <w:tcW w:w="7311" w:type="dxa"/>
            <w:shd w:val="clear" w:color="auto" w:fill="auto"/>
            <w:vAlign w:val="center"/>
          </w:tcPr>
          <w:p w14:paraId="182EAFF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至少包括监理目标范围内容、监理工作流程、监理机构设置及人员计划、监理岗位设置与岗位职责、监理工作措施、检测监测方法及保证措施、监理服务制度、监理工作成果物</w:t>
            </w:r>
          </w:p>
          <w:p w14:paraId="6FFDA374">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30FCA58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6DDC9E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9</w:t>
            </w:r>
          </w:p>
        </w:tc>
      </w:tr>
      <w:tr w14:paraId="1FAE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DE915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w:t>
            </w:r>
          </w:p>
        </w:tc>
        <w:tc>
          <w:tcPr>
            <w:tcW w:w="1419" w:type="dxa"/>
            <w:shd w:val="clear" w:color="auto" w:fill="auto"/>
            <w:vAlign w:val="center"/>
          </w:tcPr>
          <w:p w14:paraId="28BBA5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质量控制措施评价</w:t>
            </w:r>
          </w:p>
        </w:tc>
        <w:tc>
          <w:tcPr>
            <w:tcW w:w="7311" w:type="dxa"/>
            <w:shd w:val="clear" w:color="auto" w:fill="auto"/>
            <w:vAlign w:val="center"/>
          </w:tcPr>
          <w:p w14:paraId="0B98F10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质量控制措施</w:t>
            </w:r>
            <w:r>
              <w:rPr>
                <w:rFonts w:hint="default" w:ascii="Times New Roman" w:hAnsi="Times New Roman" w:eastAsia="宋体" w:cs="Times New Roman"/>
                <w:kern w:val="0"/>
                <w:sz w:val="24"/>
                <w:szCs w:val="24"/>
              </w:rPr>
              <w:t>方案</w:t>
            </w:r>
          </w:p>
          <w:p w14:paraId="6AD713EE">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11DC9EA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1处瑕疵减3分，最低0分。</w:t>
            </w:r>
          </w:p>
        </w:tc>
        <w:tc>
          <w:tcPr>
            <w:tcW w:w="1143" w:type="dxa"/>
            <w:shd w:val="clear" w:color="auto" w:fill="auto"/>
            <w:vAlign w:val="center"/>
          </w:tcPr>
          <w:p w14:paraId="57B4E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9</w:t>
            </w:r>
          </w:p>
        </w:tc>
      </w:tr>
      <w:tr w14:paraId="246F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5667E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w:t>
            </w:r>
          </w:p>
        </w:tc>
        <w:tc>
          <w:tcPr>
            <w:tcW w:w="1419" w:type="dxa"/>
            <w:shd w:val="clear" w:color="auto" w:fill="auto"/>
            <w:vAlign w:val="center"/>
          </w:tcPr>
          <w:p w14:paraId="356D78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进度控制措施评价</w:t>
            </w:r>
          </w:p>
        </w:tc>
        <w:tc>
          <w:tcPr>
            <w:tcW w:w="7311" w:type="dxa"/>
            <w:shd w:val="clear" w:color="auto" w:fill="auto"/>
            <w:vAlign w:val="center"/>
          </w:tcPr>
          <w:p w14:paraId="643AB43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进度控制措施</w:t>
            </w:r>
            <w:r>
              <w:rPr>
                <w:rFonts w:hint="default" w:ascii="Times New Roman" w:hAnsi="Times New Roman" w:eastAsia="宋体" w:cs="Times New Roman"/>
                <w:kern w:val="0"/>
                <w:sz w:val="24"/>
                <w:szCs w:val="24"/>
              </w:rPr>
              <w:t>方案</w:t>
            </w:r>
          </w:p>
          <w:p w14:paraId="649E1A92">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2625168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5A9E81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7152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CF848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w:t>
            </w:r>
          </w:p>
        </w:tc>
        <w:tc>
          <w:tcPr>
            <w:tcW w:w="1419" w:type="dxa"/>
            <w:shd w:val="clear" w:color="auto" w:fill="auto"/>
            <w:vAlign w:val="center"/>
          </w:tcPr>
          <w:p w14:paraId="1E0DBC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投资控制措施评价</w:t>
            </w:r>
          </w:p>
        </w:tc>
        <w:tc>
          <w:tcPr>
            <w:tcW w:w="7311" w:type="dxa"/>
            <w:shd w:val="clear" w:color="auto" w:fill="auto"/>
            <w:vAlign w:val="center"/>
          </w:tcPr>
          <w:p w14:paraId="690448F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投资控制措施方案</w:t>
            </w:r>
          </w:p>
          <w:p w14:paraId="09E51593">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3A9C2D4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130B71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7904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663" w:type="dxa"/>
            <w:shd w:val="clear" w:color="auto" w:fill="auto"/>
            <w:noWrap/>
            <w:vAlign w:val="center"/>
          </w:tcPr>
          <w:p w14:paraId="110848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w:t>
            </w:r>
          </w:p>
        </w:tc>
        <w:tc>
          <w:tcPr>
            <w:tcW w:w="1419" w:type="dxa"/>
            <w:shd w:val="clear" w:color="auto" w:fill="auto"/>
            <w:vAlign w:val="center"/>
          </w:tcPr>
          <w:p w14:paraId="3FB37B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变更控制措施评价</w:t>
            </w:r>
          </w:p>
        </w:tc>
        <w:tc>
          <w:tcPr>
            <w:tcW w:w="7311" w:type="dxa"/>
            <w:shd w:val="clear" w:color="auto" w:fill="auto"/>
            <w:vAlign w:val="center"/>
          </w:tcPr>
          <w:p w14:paraId="0B4F2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至少包含变更控制措施方案</w:t>
            </w:r>
          </w:p>
          <w:p w14:paraId="239F1BAA">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41E1929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6CC926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590B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3DECB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c>
          <w:tcPr>
            <w:tcW w:w="1419" w:type="dxa"/>
            <w:shd w:val="clear" w:color="auto" w:fill="auto"/>
            <w:vAlign w:val="center"/>
          </w:tcPr>
          <w:p w14:paraId="0D3D65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合同及信息管理措施评价</w:t>
            </w:r>
          </w:p>
        </w:tc>
        <w:tc>
          <w:tcPr>
            <w:tcW w:w="7311" w:type="dxa"/>
            <w:shd w:val="clear" w:color="auto" w:fill="auto"/>
            <w:vAlign w:val="center"/>
          </w:tcPr>
          <w:p w14:paraId="321A2EE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合同及信息管理措施方案</w:t>
            </w:r>
            <w:r>
              <w:rPr>
                <w:rFonts w:hint="default" w:ascii="Times New Roman" w:hAnsi="Times New Roman" w:eastAsia="宋体" w:cs="Times New Roman"/>
                <w:kern w:val="0"/>
                <w:sz w:val="24"/>
                <w:szCs w:val="24"/>
              </w:rPr>
              <w:t>。</w:t>
            </w:r>
          </w:p>
          <w:p w14:paraId="7B229F8E">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17F89DA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78ACB7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0F27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C5132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c>
          <w:tcPr>
            <w:tcW w:w="1419" w:type="dxa"/>
            <w:shd w:val="clear" w:color="auto" w:fill="auto"/>
            <w:vAlign w:val="center"/>
          </w:tcPr>
          <w:p w14:paraId="20A7C1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人员保密方案评价</w:t>
            </w:r>
          </w:p>
        </w:tc>
        <w:tc>
          <w:tcPr>
            <w:tcW w:w="7311" w:type="dxa"/>
            <w:shd w:val="clear" w:color="auto" w:fill="auto"/>
            <w:vAlign w:val="center"/>
          </w:tcPr>
          <w:p w14:paraId="6D7369C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人员保密方案</w:t>
            </w:r>
          </w:p>
          <w:p w14:paraId="6A7927AF">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4CD5E4E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01DA3F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5080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663" w:type="dxa"/>
            <w:shd w:val="clear" w:color="auto" w:fill="auto"/>
            <w:noWrap/>
            <w:vAlign w:val="center"/>
          </w:tcPr>
          <w:p w14:paraId="696167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8</w:t>
            </w:r>
          </w:p>
        </w:tc>
        <w:tc>
          <w:tcPr>
            <w:tcW w:w="1419" w:type="dxa"/>
            <w:shd w:val="clear" w:color="auto" w:fill="auto"/>
            <w:vAlign w:val="center"/>
          </w:tcPr>
          <w:p w14:paraId="63489B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项目安全管理方案评价</w:t>
            </w:r>
          </w:p>
        </w:tc>
        <w:tc>
          <w:tcPr>
            <w:tcW w:w="7311" w:type="dxa"/>
            <w:shd w:val="clear" w:color="auto" w:fill="auto"/>
            <w:vAlign w:val="center"/>
          </w:tcPr>
          <w:p w14:paraId="0ABA8CE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项目安全管理方案</w:t>
            </w:r>
          </w:p>
          <w:p w14:paraId="2A550EA2">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02A9BBC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1AB432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0D2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2FD7A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9</w:t>
            </w:r>
          </w:p>
        </w:tc>
        <w:tc>
          <w:tcPr>
            <w:tcW w:w="1419" w:type="dxa"/>
            <w:shd w:val="clear" w:color="auto" w:fill="auto"/>
            <w:vAlign w:val="center"/>
          </w:tcPr>
          <w:p w14:paraId="2B1733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协调管理措施评价</w:t>
            </w:r>
          </w:p>
        </w:tc>
        <w:tc>
          <w:tcPr>
            <w:tcW w:w="7311" w:type="dxa"/>
            <w:shd w:val="clear" w:color="auto" w:fill="auto"/>
            <w:vAlign w:val="center"/>
          </w:tcPr>
          <w:p w14:paraId="556E4F8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至少包含</w:t>
            </w:r>
            <w:r>
              <w:rPr>
                <w:rFonts w:hint="default" w:ascii="Times New Roman" w:hAnsi="Times New Roman" w:eastAsia="宋体" w:cs="Times New Roman"/>
                <w:sz w:val="24"/>
                <w:szCs w:val="24"/>
              </w:rPr>
              <w:t>协调管理措施</w:t>
            </w:r>
          </w:p>
          <w:p w14:paraId="07816D7D">
            <w:pPr>
              <w:keepNext w:val="0"/>
              <w:keepLines w:val="0"/>
              <w:pageBreakBefore w:val="0"/>
              <w:widowControl w:val="0"/>
              <w:kinsoku/>
              <w:wordWrap/>
              <w:overflowPunct/>
              <w:topLinePunct w:val="0"/>
              <w:autoSpaceDE/>
              <w:autoSpaceDN/>
              <w:bidi w:val="0"/>
              <w:adjustRightInd/>
              <w:snapToGrid/>
              <w:spacing w:line="400" w:lineRule="exact"/>
              <w:textAlignment w:val="auto"/>
              <w:rPr>
                <w:kern w:val="0"/>
                <w:sz w:val="24"/>
                <w:szCs w:val="24"/>
              </w:rPr>
            </w:pPr>
            <w:r>
              <w:rPr>
                <w:rFonts w:hint="eastAsia"/>
                <w:kern w:val="0"/>
                <w:sz w:val="24"/>
                <w:szCs w:val="24"/>
              </w:rPr>
              <w:t>满足</w:t>
            </w:r>
            <w:r>
              <w:rPr>
                <w:kern w:val="0"/>
                <w:sz w:val="24"/>
                <w:szCs w:val="24"/>
              </w:rPr>
              <w:t>本文件要求，无瑕疵得满分；</w:t>
            </w:r>
          </w:p>
          <w:p w14:paraId="00156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w:t>
            </w:r>
            <w:r>
              <w:rPr>
                <w:rFonts w:hint="eastAsia"/>
                <w:kern w:val="0"/>
                <w:sz w:val="24"/>
                <w:szCs w:val="24"/>
                <w:lang w:val="en-US" w:eastAsia="zh-CN"/>
              </w:rPr>
              <w:t>2</w:t>
            </w:r>
            <w:r>
              <w:rPr>
                <w:rFonts w:hint="eastAsia"/>
                <w:kern w:val="0"/>
                <w:sz w:val="24"/>
                <w:szCs w:val="24"/>
              </w:rPr>
              <w:t>分，最低0分。</w:t>
            </w:r>
          </w:p>
        </w:tc>
        <w:tc>
          <w:tcPr>
            <w:tcW w:w="1143" w:type="dxa"/>
            <w:shd w:val="clear" w:color="auto" w:fill="auto"/>
            <w:vAlign w:val="center"/>
          </w:tcPr>
          <w:p w14:paraId="2DEADA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w:t>
            </w:r>
          </w:p>
        </w:tc>
      </w:tr>
      <w:tr w14:paraId="0E09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5A591C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w:t>
            </w:r>
          </w:p>
        </w:tc>
        <w:tc>
          <w:tcPr>
            <w:tcW w:w="1143" w:type="dxa"/>
            <w:shd w:val="clear" w:color="auto" w:fill="auto"/>
            <w:vAlign w:val="center"/>
          </w:tcPr>
          <w:p w14:paraId="6A5755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100</w:t>
            </w:r>
          </w:p>
        </w:tc>
      </w:tr>
    </w:tbl>
    <w:p w14:paraId="5C932DB2">
      <w:pPr>
        <w:spacing w:line="360" w:lineRule="auto"/>
        <w:ind w:firstLine="448" w:firstLineChars="200"/>
        <w:outlineLvl w:val="0"/>
        <w:rPr>
          <w:rFonts w:hint="eastAsia"/>
          <w:kern w:val="0"/>
          <w:sz w:val="24"/>
          <w:szCs w:val="24"/>
        </w:rPr>
      </w:pPr>
    </w:p>
    <w:p w14:paraId="32865912">
      <w:pPr>
        <w:spacing w:line="360" w:lineRule="auto"/>
        <w:ind w:firstLine="448" w:firstLineChars="200"/>
        <w:outlineLvl w:val="0"/>
        <w:rPr>
          <w:sz w:val="24"/>
        </w:rPr>
      </w:pPr>
      <w:r>
        <w:rPr>
          <w:rFonts w:hint="eastAsia"/>
          <w:kern w:val="0"/>
          <w:sz w:val="24"/>
          <w:szCs w:val="24"/>
          <w:lang w:val="en-US" w:eastAsia="zh-CN"/>
        </w:rPr>
        <w:t>注：</w:t>
      </w: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3AC52A29">
      <w:pPr>
        <w:widowControl/>
        <w:jc w:val="left"/>
        <w:rPr>
          <w:sz w:val="24"/>
        </w:rPr>
      </w:pPr>
      <w:r>
        <w:rPr>
          <w:sz w:val="24"/>
        </w:rPr>
        <w:br w:type="page"/>
      </w:r>
    </w:p>
    <w:p w14:paraId="67D74C0D">
      <w:pPr>
        <w:spacing w:line="360" w:lineRule="auto"/>
        <w:ind w:firstLine="448" w:firstLineChars="200"/>
        <w:jc w:val="center"/>
        <w:outlineLvl w:val="0"/>
        <w:rPr>
          <w:b/>
          <w:sz w:val="24"/>
        </w:rPr>
      </w:pPr>
      <w:r>
        <w:rPr>
          <w:rFonts w:hint="eastAsia"/>
          <w:b/>
          <w:sz w:val="24"/>
        </w:rPr>
        <w:t>项目需求书</w:t>
      </w:r>
    </w:p>
    <w:p w14:paraId="7AAE898E">
      <w:pPr>
        <w:keepLines w:val="0"/>
        <w:pageBreakBefore w:val="0"/>
        <w:widowControl w:val="0"/>
        <w:kinsoku/>
        <w:wordWrap/>
        <w:overflowPunct/>
        <w:bidi w:val="0"/>
        <w:ind w:left="0" w:leftChars="0" w:firstLine="0" w:firstLineChars="0"/>
        <w:jc w:val="left"/>
        <w:outlineLvl w:val="1"/>
        <w:rPr>
          <w:rFonts w:hint="default"/>
          <w:b/>
          <w:bCs/>
          <w:color w:val="auto"/>
          <w:sz w:val="24"/>
          <w:lang w:val="en-US" w:eastAsia="zh-CN"/>
        </w:rPr>
      </w:pPr>
      <w:r>
        <w:rPr>
          <w:rFonts w:hint="eastAsia"/>
          <w:b/>
          <w:bCs/>
          <w:color w:val="auto"/>
          <w:sz w:val="24"/>
          <w:lang w:val="en-US" w:eastAsia="zh-CN"/>
        </w:rPr>
        <w:t>第一包：</w:t>
      </w:r>
      <w:r>
        <w:rPr>
          <w:rFonts w:hint="default" w:ascii="Times New Roman" w:hAnsi="Times New Roman" w:eastAsia="宋体" w:cs="Times New Roman"/>
          <w:b/>
          <w:bCs/>
          <w:color w:val="auto"/>
          <w:sz w:val="24"/>
          <w:szCs w:val="24"/>
        </w:rPr>
        <w:t>话务系统服务</w:t>
      </w:r>
    </w:p>
    <w:p w14:paraId="70930136">
      <w:pPr>
        <w:keepLines w:val="0"/>
        <w:pageBreakBefore w:val="0"/>
        <w:widowControl w:val="0"/>
        <w:kinsoku/>
        <w:wordWrap/>
        <w:overflowPunct/>
        <w:bidi w:val="0"/>
        <w:ind w:firstLine="448" w:firstLineChars="200"/>
        <w:jc w:val="left"/>
        <w:outlineLvl w:val="1"/>
        <w:rPr>
          <w:color w:val="auto"/>
          <w:sz w:val="24"/>
        </w:rPr>
      </w:pPr>
      <w:r>
        <w:rPr>
          <w:rFonts w:hint="eastAsia"/>
          <w:color w:val="auto"/>
          <w:sz w:val="24"/>
          <w:lang w:val="en-US" w:eastAsia="zh-CN"/>
        </w:rPr>
        <w:t>一</w:t>
      </w:r>
      <w:r>
        <w:rPr>
          <w:rFonts w:hint="eastAsia"/>
          <w:color w:val="auto"/>
          <w:sz w:val="24"/>
        </w:rPr>
        <w:t>、服务内容</w:t>
      </w:r>
    </w:p>
    <w:p w14:paraId="17C45827">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rPr>
        <w:t>（一）服务清单</w:t>
      </w:r>
    </w:p>
    <w:tbl>
      <w:tblPr>
        <w:tblStyle w:val="22"/>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3118"/>
        <w:gridCol w:w="3787"/>
      </w:tblGrid>
      <w:tr w14:paraId="356C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40052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bookmarkStart w:id="4" w:name="RANGE!A1"/>
            <w:r>
              <w:rPr>
                <w:rFonts w:hint="eastAsia" w:ascii="宋体" w:hAnsi="宋体" w:cs="宋体"/>
                <w:color w:val="auto"/>
                <w:kern w:val="0"/>
                <w:sz w:val="24"/>
                <w:szCs w:val="24"/>
              </w:rPr>
              <w:t>序号</w:t>
            </w:r>
            <w:bookmarkEnd w:id="4"/>
          </w:p>
        </w:tc>
        <w:tc>
          <w:tcPr>
            <w:tcW w:w="0" w:type="auto"/>
            <w:shd w:val="clear" w:color="auto" w:fill="auto"/>
            <w:vAlign w:val="center"/>
          </w:tcPr>
          <w:p w14:paraId="011D5B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服务内容</w:t>
            </w:r>
          </w:p>
        </w:tc>
        <w:tc>
          <w:tcPr>
            <w:tcW w:w="0" w:type="auto"/>
            <w:shd w:val="clear" w:color="auto" w:fill="auto"/>
            <w:vAlign w:val="center"/>
          </w:tcPr>
          <w:p w14:paraId="5FE6E4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具体要求</w:t>
            </w:r>
          </w:p>
        </w:tc>
      </w:tr>
      <w:tr w14:paraId="1442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3"/>
            <w:shd w:val="clear" w:color="auto" w:fill="auto"/>
            <w:vAlign w:val="center"/>
          </w:tcPr>
          <w:p w14:paraId="26D89B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一、话务呼叫中心系统服务</w:t>
            </w:r>
          </w:p>
        </w:tc>
      </w:tr>
      <w:tr w14:paraId="32B0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1F262C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1</w:t>
            </w:r>
          </w:p>
        </w:tc>
        <w:tc>
          <w:tcPr>
            <w:tcW w:w="0" w:type="auto"/>
            <w:vMerge w:val="restart"/>
            <w:shd w:val="clear" w:color="auto" w:fill="auto"/>
            <w:vAlign w:val="center"/>
          </w:tcPr>
          <w:p w14:paraId="70362B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话务呼叫中心服务</w:t>
            </w:r>
          </w:p>
        </w:tc>
        <w:tc>
          <w:tcPr>
            <w:tcW w:w="0" w:type="auto"/>
            <w:shd w:val="clear" w:color="auto" w:fill="auto"/>
            <w:vAlign w:val="center"/>
          </w:tcPr>
          <w:p w14:paraId="6D6189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话务呼叫中心服务</w:t>
            </w:r>
          </w:p>
        </w:tc>
      </w:tr>
      <w:tr w14:paraId="06FB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F8E34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5BFBA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4EE117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语音坐席</w:t>
            </w:r>
          </w:p>
        </w:tc>
      </w:tr>
      <w:tr w14:paraId="5EFD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59A47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799BA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008428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语音</w:t>
            </w:r>
            <w:r>
              <w:rPr>
                <w:color w:val="auto"/>
                <w:kern w:val="0"/>
                <w:sz w:val="24"/>
                <w:szCs w:val="24"/>
              </w:rPr>
              <w:t>IVR</w:t>
            </w:r>
          </w:p>
        </w:tc>
      </w:tr>
      <w:tr w14:paraId="457A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2D194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4BC462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47C9B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会话边界控制服务</w:t>
            </w:r>
          </w:p>
        </w:tc>
      </w:tr>
      <w:tr w14:paraId="67A8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6D98C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611E2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19844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网管接入</w:t>
            </w:r>
          </w:p>
        </w:tc>
      </w:tr>
      <w:tr w14:paraId="4C69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CED18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37E87D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74F038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工单系统适配服务</w:t>
            </w:r>
          </w:p>
        </w:tc>
      </w:tr>
      <w:tr w14:paraId="2A56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91A34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5D36FE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65DA56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接续汇接平台适配服务</w:t>
            </w:r>
          </w:p>
        </w:tc>
      </w:tr>
      <w:tr w14:paraId="1E85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1ECC0B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2</w:t>
            </w:r>
          </w:p>
        </w:tc>
        <w:tc>
          <w:tcPr>
            <w:tcW w:w="0" w:type="auto"/>
            <w:vMerge w:val="restart"/>
            <w:shd w:val="clear" w:color="auto" w:fill="auto"/>
            <w:vAlign w:val="center"/>
          </w:tcPr>
          <w:p w14:paraId="563EC5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话务服务部署环境服务</w:t>
            </w:r>
          </w:p>
        </w:tc>
        <w:tc>
          <w:tcPr>
            <w:tcW w:w="0" w:type="auto"/>
            <w:shd w:val="clear" w:color="auto" w:fill="auto"/>
            <w:vAlign w:val="center"/>
          </w:tcPr>
          <w:p w14:paraId="2C2B4C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数据库</w:t>
            </w:r>
          </w:p>
        </w:tc>
      </w:tr>
      <w:tr w14:paraId="2C0C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D3AD2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2C768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6770EA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语音网关</w:t>
            </w:r>
          </w:p>
        </w:tc>
      </w:tr>
      <w:tr w14:paraId="7856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61F02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06733B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0D52A5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服务器</w:t>
            </w:r>
          </w:p>
        </w:tc>
      </w:tr>
      <w:tr w14:paraId="0068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9AFBD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3C8400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7E584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服务器虚拟机操作系统</w:t>
            </w:r>
          </w:p>
        </w:tc>
      </w:tr>
      <w:tr w14:paraId="260D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5D1AE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5B1CCC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2F3D4B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服务器数据库虚机操作系统</w:t>
            </w:r>
          </w:p>
        </w:tc>
      </w:tr>
      <w:tr w14:paraId="16B9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1A627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465CD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7C344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服务器宿主机操作系统</w:t>
            </w:r>
          </w:p>
        </w:tc>
      </w:tr>
      <w:tr w14:paraId="4D8C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B1E7B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34FC18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3E996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集中存储</w:t>
            </w:r>
          </w:p>
        </w:tc>
      </w:tr>
      <w:tr w14:paraId="7A1D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8489E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A15BE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715E5A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数据中心虚拟化软件</w:t>
            </w:r>
          </w:p>
        </w:tc>
      </w:tr>
      <w:tr w14:paraId="77B0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A0F3E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414AB7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57CD62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千兆交换机</w:t>
            </w:r>
          </w:p>
        </w:tc>
      </w:tr>
      <w:tr w14:paraId="653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BA266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68D94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0173B5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防火墙</w:t>
            </w:r>
          </w:p>
        </w:tc>
      </w:tr>
      <w:tr w14:paraId="5F76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3"/>
            <w:shd w:val="clear" w:color="auto" w:fill="auto"/>
            <w:vAlign w:val="center"/>
          </w:tcPr>
          <w:p w14:paraId="194F77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二、云桌面服务</w:t>
            </w:r>
          </w:p>
        </w:tc>
      </w:tr>
      <w:tr w14:paraId="3C80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C5BCD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color w:val="auto"/>
                <w:kern w:val="0"/>
                <w:sz w:val="24"/>
                <w:szCs w:val="24"/>
                <w:lang w:val="en-US" w:eastAsia="zh-CN"/>
              </w:rPr>
              <w:t>3</w:t>
            </w:r>
          </w:p>
        </w:tc>
        <w:tc>
          <w:tcPr>
            <w:tcW w:w="0" w:type="auto"/>
            <w:shd w:val="clear" w:color="auto" w:fill="auto"/>
            <w:vAlign w:val="center"/>
          </w:tcPr>
          <w:p w14:paraId="4590BF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云桌面虚拟化服务</w:t>
            </w:r>
          </w:p>
        </w:tc>
        <w:tc>
          <w:tcPr>
            <w:tcW w:w="0" w:type="auto"/>
            <w:shd w:val="clear" w:color="auto" w:fill="auto"/>
            <w:vAlign w:val="center"/>
          </w:tcPr>
          <w:p w14:paraId="6E99BC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云桌面虚拟化软件及私有云平台服务</w:t>
            </w:r>
          </w:p>
        </w:tc>
      </w:tr>
      <w:tr w14:paraId="78E3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166122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color w:val="auto"/>
                <w:kern w:val="0"/>
                <w:sz w:val="24"/>
                <w:szCs w:val="24"/>
                <w:lang w:val="en-US" w:eastAsia="zh-CN"/>
              </w:rPr>
              <w:t>4</w:t>
            </w:r>
          </w:p>
        </w:tc>
        <w:tc>
          <w:tcPr>
            <w:tcW w:w="0" w:type="auto"/>
            <w:vMerge w:val="restart"/>
            <w:shd w:val="clear" w:color="auto" w:fill="auto"/>
            <w:vAlign w:val="center"/>
          </w:tcPr>
          <w:p w14:paraId="3AD085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专网云桌面部署环境服务</w:t>
            </w:r>
          </w:p>
        </w:tc>
        <w:tc>
          <w:tcPr>
            <w:tcW w:w="0" w:type="auto"/>
            <w:shd w:val="clear" w:color="auto" w:fill="auto"/>
            <w:vAlign w:val="center"/>
          </w:tcPr>
          <w:p w14:paraId="701370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管理节点</w:t>
            </w:r>
          </w:p>
        </w:tc>
      </w:tr>
      <w:tr w14:paraId="19A7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A3F16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5423C3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458982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计算节点</w:t>
            </w:r>
          </w:p>
        </w:tc>
      </w:tr>
      <w:tr w14:paraId="4FD3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2464E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2E855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36A77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万兆交换机</w:t>
            </w:r>
          </w:p>
        </w:tc>
      </w:tr>
      <w:tr w14:paraId="0428FB4A">
        <w:tblPrEx>
          <w:tblCellMar>
            <w:top w:w="0" w:type="dxa"/>
            <w:left w:w="108" w:type="dxa"/>
            <w:bottom w:w="0" w:type="dxa"/>
            <w:right w:w="108" w:type="dxa"/>
          </w:tblCellMar>
        </w:tblPrEx>
        <w:tc>
          <w:tcPr>
            <w:tcW w:w="0" w:type="auto"/>
            <w:vMerge w:val="continue"/>
            <w:vAlign w:val="center"/>
          </w:tcPr>
          <w:p w14:paraId="3B6C6D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202703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0F8E98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千兆交换机</w:t>
            </w:r>
          </w:p>
        </w:tc>
      </w:tr>
      <w:tr w14:paraId="1324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42CEA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BFDBC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508AF0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防火墙</w:t>
            </w:r>
          </w:p>
        </w:tc>
      </w:tr>
      <w:tr w14:paraId="3BCF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38B660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color w:val="auto"/>
                <w:kern w:val="0"/>
                <w:sz w:val="24"/>
                <w:szCs w:val="24"/>
                <w:lang w:val="en-US" w:eastAsia="zh-CN"/>
              </w:rPr>
              <w:t>5</w:t>
            </w:r>
          </w:p>
        </w:tc>
        <w:tc>
          <w:tcPr>
            <w:tcW w:w="0" w:type="auto"/>
            <w:vMerge w:val="restart"/>
            <w:shd w:val="clear" w:color="auto" w:fill="auto"/>
            <w:vAlign w:val="center"/>
          </w:tcPr>
          <w:p w14:paraId="325502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专网云桌面终端服务</w:t>
            </w:r>
          </w:p>
        </w:tc>
        <w:tc>
          <w:tcPr>
            <w:tcW w:w="0" w:type="auto"/>
            <w:shd w:val="clear" w:color="auto" w:fill="auto"/>
            <w:vAlign w:val="center"/>
          </w:tcPr>
          <w:p w14:paraId="53E299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云桌面瘦终端</w:t>
            </w:r>
          </w:p>
        </w:tc>
      </w:tr>
      <w:tr w14:paraId="2373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EC7A2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118751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F3944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无线键鼠</w:t>
            </w:r>
          </w:p>
        </w:tc>
      </w:tr>
      <w:tr w14:paraId="615E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D7594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D67B3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7B82C5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曲面显示屏</w:t>
            </w:r>
          </w:p>
        </w:tc>
      </w:tr>
      <w:tr w14:paraId="1977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7C0435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38F134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5DE19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便携办公设备</w:t>
            </w:r>
          </w:p>
        </w:tc>
      </w:tr>
      <w:tr w14:paraId="61B9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7B81A8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516178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E9589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正版云桌面操作系统</w:t>
            </w:r>
          </w:p>
        </w:tc>
      </w:tr>
      <w:tr w14:paraId="2603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E42CD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76D830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2EB298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正版流式软件</w:t>
            </w:r>
          </w:p>
        </w:tc>
      </w:tr>
      <w:tr w14:paraId="2B37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727787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E4282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2BAB08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正版版式软件</w:t>
            </w:r>
          </w:p>
        </w:tc>
      </w:tr>
      <w:tr w14:paraId="1FB3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662761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color w:val="auto"/>
                <w:kern w:val="0"/>
                <w:sz w:val="24"/>
                <w:szCs w:val="24"/>
                <w:lang w:val="en-US" w:eastAsia="zh-CN"/>
              </w:rPr>
              <w:t>6</w:t>
            </w:r>
          </w:p>
        </w:tc>
        <w:tc>
          <w:tcPr>
            <w:tcW w:w="0" w:type="auto"/>
            <w:vMerge w:val="restart"/>
            <w:shd w:val="clear" w:color="auto" w:fill="auto"/>
            <w:vAlign w:val="center"/>
          </w:tcPr>
          <w:p w14:paraId="415C71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互联网云桌面部署环境服务</w:t>
            </w:r>
          </w:p>
        </w:tc>
        <w:tc>
          <w:tcPr>
            <w:tcW w:w="0" w:type="auto"/>
            <w:shd w:val="clear" w:color="auto" w:fill="auto"/>
            <w:vAlign w:val="center"/>
          </w:tcPr>
          <w:p w14:paraId="0DFF98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计算节点</w:t>
            </w:r>
          </w:p>
        </w:tc>
      </w:tr>
      <w:tr w14:paraId="6F7A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3857B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C9254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D0820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万兆交换机</w:t>
            </w:r>
          </w:p>
        </w:tc>
      </w:tr>
      <w:tr w14:paraId="2850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52FB70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145939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71D4D7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千兆交换机</w:t>
            </w:r>
          </w:p>
        </w:tc>
      </w:tr>
      <w:tr w14:paraId="5739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272CA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0C25D4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0AEFC2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防火墙</w:t>
            </w:r>
          </w:p>
        </w:tc>
      </w:tr>
      <w:tr w14:paraId="1D49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4167AE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default"/>
                <w:color w:val="auto"/>
                <w:kern w:val="0"/>
                <w:sz w:val="24"/>
                <w:szCs w:val="24"/>
                <w:lang w:val="en-US" w:eastAsia="zh-CN"/>
              </w:rPr>
              <w:t>7</w:t>
            </w:r>
          </w:p>
        </w:tc>
        <w:tc>
          <w:tcPr>
            <w:tcW w:w="0" w:type="auto"/>
            <w:vMerge w:val="restart"/>
            <w:shd w:val="clear" w:color="auto" w:fill="auto"/>
            <w:vAlign w:val="center"/>
          </w:tcPr>
          <w:p w14:paraId="04AE18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互联网云桌面终端服务</w:t>
            </w:r>
          </w:p>
        </w:tc>
        <w:tc>
          <w:tcPr>
            <w:tcW w:w="0" w:type="auto"/>
            <w:shd w:val="clear" w:color="auto" w:fill="auto"/>
            <w:vAlign w:val="center"/>
          </w:tcPr>
          <w:p w14:paraId="779BB2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云桌面瘦终端</w:t>
            </w:r>
          </w:p>
        </w:tc>
      </w:tr>
      <w:tr w14:paraId="5643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2C799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239E27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37180F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无线键鼠</w:t>
            </w:r>
          </w:p>
        </w:tc>
      </w:tr>
      <w:tr w14:paraId="50C6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0E9808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14976F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6D0781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直面显示屏</w:t>
            </w:r>
          </w:p>
        </w:tc>
      </w:tr>
      <w:tr w14:paraId="6B3F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3402CF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1F449E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4EFD17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便携办公设备</w:t>
            </w:r>
          </w:p>
        </w:tc>
      </w:tr>
      <w:tr w14:paraId="5F1D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AA90C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0D705B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2DC71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正版云桌面操作系统</w:t>
            </w:r>
          </w:p>
        </w:tc>
      </w:tr>
      <w:tr w14:paraId="3EEF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635E52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227017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79D87A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正版流式软件</w:t>
            </w:r>
          </w:p>
        </w:tc>
      </w:tr>
      <w:tr w14:paraId="6761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2DCD75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43DF3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5A2F76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正版版式软件</w:t>
            </w:r>
          </w:p>
        </w:tc>
      </w:tr>
      <w:tr w14:paraId="252E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1CCAFF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8AF0D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10AA8A6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终端安全防护服务</w:t>
            </w:r>
          </w:p>
        </w:tc>
      </w:tr>
      <w:tr w14:paraId="6D9C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3510D4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default"/>
                <w:color w:val="auto"/>
                <w:kern w:val="0"/>
                <w:sz w:val="24"/>
                <w:szCs w:val="24"/>
                <w:lang w:val="en-US" w:eastAsia="zh-CN"/>
              </w:rPr>
              <w:t>8</w:t>
            </w:r>
          </w:p>
        </w:tc>
        <w:tc>
          <w:tcPr>
            <w:tcW w:w="0" w:type="auto"/>
            <w:vMerge w:val="restart"/>
            <w:shd w:val="clear" w:color="auto" w:fill="auto"/>
            <w:vAlign w:val="center"/>
          </w:tcPr>
          <w:p w14:paraId="726992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专网应急云桌面部署环境服务</w:t>
            </w:r>
          </w:p>
        </w:tc>
        <w:tc>
          <w:tcPr>
            <w:tcW w:w="0" w:type="auto"/>
            <w:shd w:val="clear" w:color="auto" w:fill="auto"/>
            <w:vAlign w:val="center"/>
          </w:tcPr>
          <w:p w14:paraId="3D1876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计算节点</w:t>
            </w:r>
          </w:p>
        </w:tc>
      </w:tr>
      <w:tr w14:paraId="30C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14:paraId="490662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kern w:val="0"/>
                <w:sz w:val="24"/>
                <w:szCs w:val="24"/>
              </w:rPr>
            </w:pPr>
          </w:p>
        </w:tc>
        <w:tc>
          <w:tcPr>
            <w:tcW w:w="0" w:type="auto"/>
            <w:vMerge w:val="continue"/>
            <w:vAlign w:val="center"/>
          </w:tcPr>
          <w:p w14:paraId="668CC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p>
        </w:tc>
        <w:tc>
          <w:tcPr>
            <w:tcW w:w="0" w:type="auto"/>
            <w:shd w:val="clear" w:color="auto" w:fill="auto"/>
            <w:vAlign w:val="center"/>
          </w:tcPr>
          <w:p w14:paraId="408C7F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万兆交换机</w:t>
            </w:r>
          </w:p>
        </w:tc>
      </w:tr>
      <w:tr w14:paraId="5F5B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48387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default"/>
                <w:color w:val="auto"/>
                <w:kern w:val="0"/>
                <w:sz w:val="24"/>
                <w:szCs w:val="24"/>
                <w:lang w:val="en-US" w:eastAsia="zh-CN"/>
              </w:rPr>
              <w:t>9</w:t>
            </w:r>
          </w:p>
        </w:tc>
        <w:tc>
          <w:tcPr>
            <w:tcW w:w="0" w:type="auto"/>
            <w:shd w:val="clear" w:color="auto" w:fill="auto"/>
            <w:vAlign w:val="center"/>
          </w:tcPr>
          <w:p w14:paraId="2C5256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专网应急云桌面终端服务</w:t>
            </w:r>
          </w:p>
        </w:tc>
        <w:tc>
          <w:tcPr>
            <w:tcW w:w="0" w:type="auto"/>
            <w:shd w:val="clear" w:color="auto" w:fill="auto"/>
            <w:vAlign w:val="center"/>
          </w:tcPr>
          <w:p w14:paraId="23BA15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终端安全防护服务</w:t>
            </w:r>
          </w:p>
        </w:tc>
      </w:tr>
      <w:tr w14:paraId="22E3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12BE1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color w:val="auto"/>
                <w:kern w:val="0"/>
                <w:sz w:val="24"/>
                <w:szCs w:val="24"/>
              </w:rPr>
              <w:t>1</w:t>
            </w:r>
            <w:r>
              <w:rPr>
                <w:rFonts w:hint="default"/>
                <w:color w:val="auto"/>
                <w:kern w:val="0"/>
                <w:sz w:val="24"/>
                <w:szCs w:val="24"/>
                <w:lang w:val="en-US" w:eastAsia="zh-CN"/>
              </w:rPr>
              <w:t>0</w:t>
            </w:r>
          </w:p>
        </w:tc>
        <w:tc>
          <w:tcPr>
            <w:tcW w:w="0" w:type="auto"/>
            <w:shd w:val="clear" w:color="auto" w:fill="auto"/>
            <w:vAlign w:val="center"/>
          </w:tcPr>
          <w:p w14:paraId="35F778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云桌面运维服务</w:t>
            </w:r>
          </w:p>
        </w:tc>
        <w:tc>
          <w:tcPr>
            <w:tcW w:w="0" w:type="auto"/>
            <w:shd w:val="clear" w:color="auto" w:fill="auto"/>
            <w:vAlign w:val="center"/>
          </w:tcPr>
          <w:p w14:paraId="17BFE6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云桌面相关运维服务</w:t>
            </w:r>
          </w:p>
        </w:tc>
      </w:tr>
      <w:tr w14:paraId="0599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3"/>
            <w:shd w:val="clear" w:color="auto" w:fill="auto"/>
            <w:vAlign w:val="center"/>
          </w:tcPr>
          <w:p w14:paraId="4160A29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auto"/>
                <w:kern w:val="0"/>
                <w:sz w:val="24"/>
                <w:szCs w:val="24"/>
              </w:rPr>
            </w:pPr>
            <w:r>
              <w:rPr>
                <w:rFonts w:hint="eastAsia" w:ascii="宋体" w:hAnsi="宋体" w:cs="宋体"/>
                <w:color w:val="auto"/>
                <w:kern w:val="0"/>
                <w:sz w:val="24"/>
                <w:szCs w:val="24"/>
              </w:rPr>
              <w:t>三、基础配套服务</w:t>
            </w:r>
          </w:p>
        </w:tc>
      </w:tr>
      <w:tr w14:paraId="1DD0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shd w:val="clear" w:color="auto" w:fill="auto"/>
            <w:vAlign w:val="center"/>
          </w:tcPr>
          <w:p w14:paraId="3BD11A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default"/>
                <w:color w:val="auto"/>
                <w:kern w:val="0"/>
                <w:sz w:val="24"/>
                <w:szCs w:val="24"/>
                <w:lang w:val="en-US"/>
              </w:rPr>
              <w:t>1</w:t>
            </w:r>
            <w:r>
              <w:rPr>
                <w:rFonts w:hint="default"/>
                <w:color w:val="auto"/>
                <w:kern w:val="0"/>
                <w:sz w:val="24"/>
                <w:szCs w:val="24"/>
                <w:lang w:val="en-US" w:eastAsia="zh-CN"/>
              </w:rPr>
              <w:t>1</w:t>
            </w:r>
          </w:p>
        </w:tc>
        <w:tc>
          <w:tcPr>
            <w:tcW w:w="0" w:type="auto"/>
            <w:vMerge w:val="restart"/>
            <w:shd w:val="clear" w:color="auto" w:fill="auto"/>
            <w:vAlign w:val="center"/>
          </w:tcPr>
          <w:p w14:paraId="69F5A6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kern w:val="0"/>
                <w:sz w:val="24"/>
                <w:szCs w:val="24"/>
              </w:rPr>
            </w:pPr>
            <w:r>
              <w:rPr>
                <w:rFonts w:hint="eastAsia" w:ascii="宋体" w:hAnsi="宋体" w:cs="宋体"/>
                <w:color w:val="auto"/>
                <w:kern w:val="0"/>
                <w:sz w:val="24"/>
                <w:szCs w:val="24"/>
              </w:rPr>
              <w:t>基础配套服务</w:t>
            </w:r>
          </w:p>
        </w:tc>
        <w:tc>
          <w:tcPr>
            <w:tcW w:w="0" w:type="auto"/>
            <w:shd w:val="clear" w:color="auto" w:fill="auto"/>
            <w:vAlign w:val="center"/>
          </w:tcPr>
          <w:p w14:paraId="137DDB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kern w:val="0"/>
                <w:sz w:val="24"/>
                <w:szCs w:val="24"/>
              </w:rPr>
            </w:pPr>
            <w:r>
              <w:rPr>
                <w:rFonts w:hint="eastAsia" w:ascii="宋体" w:hAnsi="宋体" w:cs="宋体"/>
                <w:color w:val="auto"/>
                <w:kern w:val="0"/>
                <w:sz w:val="24"/>
                <w:szCs w:val="24"/>
              </w:rPr>
              <w:t>传输链路服务</w:t>
            </w:r>
          </w:p>
        </w:tc>
      </w:tr>
      <w:tr w14:paraId="0287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shd w:val="clear" w:color="auto" w:fill="auto"/>
            <w:vAlign w:val="center"/>
          </w:tcPr>
          <w:p w14:paraId="17781C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p>
        </w:tc>
        <w:tc>
          <w:tcPr>
            <w:tcW w:w="0" w:type="auto"/>
            <w:vMerge w:val="continue"/>
            <w:shd w:val="clear" w:color="auto" w:fill="auto"/>
            <w:vAlign w:val="center"/>
          </w:tcPr>
          <w:p w14:paraId="5B1CE5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kern w:val="0"/>
                <w:sz w:val="24"/>
                <w:szCs w:val="24"/>
              </w:rPr>
            </w:pPr>
          </w:p>
        </w:tc>
        <w:tc>
          <w:tcPr>
            <w:tcW w:w="0" w:type="auto"/>
            <w:shd w:val="clear" w:color="auto" w:fill="auto"/>
            <w:vAlign w:val="center"/>
          </w:tcPr>
          <w:p w14:paraId="0A896B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机柜租赁服务</w:t>
            </w:r>
          </w:p>
        </w:tc>
      </w:tr>
    </w:tbl>
    <w:p w14:paraId="38928F04">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rPr>
        <w:t>（二）</w:t>
      </w:r>
      <w:r>
        <w:rPr>
          <w:rFonts w:hint="eastAsia" w:ascii="宋体" w:hAnsi="宋体" w:cs="宋体"/>
          <w:color w:val="auto"/>
          <w:kern w:val="0"/>
          <w:sz w:val="24"/>
          <w:szCs w:val="24"/>
        </w:rPr>
        <w:t>话务呼叫中心系统服务</w:t>
      </w:r>
    </w:p>
    <w:p w14:paraId="3D12532B">
      <w:pPr>
        <w:keepLines w:val="0"/>
        <w:pageBreakBefore w:val="0"/>
        <w:widowControl w:val="0"/>
        <w:kinsoku/>
        <w:wordWrap/>
        <w:overflowPunct/>
        <w:bidi w:val="0"/>
        <w:ind w:firstLine="448" w:firstLineChars="200"/>
        <w:jc w:val="left"/>
        <w:outlineLvl w:val="3"/>
        <w:rPr>
          <w:color w:val="auto"/>
          <w:sz w:val="24"/>
        </w:rPr>
      </w:pPr>
      <w:r>
        <w:rPr>
          <w:rFonts w:hint="eastAsia"/>
          <w:color w:val="auto"/>
          <w:sz w:val="24"/>
        </w:rPr>
        <w:t>1、</w:t>
      </w:r>
      <w:r>
        <w:rPr>
          <w:rFonts w:hint="eastAsia" w:ascii="宋体" w:hAnsi="宋体" w:cs="宋体"/>
          <w:color w:val="auto"/>
          <w:kern w:val="0"/>
          <w:sz w:val="24"/>
          <w:szCs w:val="24"/>
        </w:rPr>
        <w:t>话务呼叫中心服务</w:t>
      </w:r>
    </w:p>
    <w:p w14:paraId="766FB4A7">
      <w:pPr>
        <w:keepLines w:val="0"/>
        <w:pageBreakBefore w:val="0"/>
        <w:widowControl w:val="0"/>
        <w:kinsoku/>
        <w:wordWrap/>
        <w:overflowPunct/>
        <w:bidi w:val="0"/>
        <w:ind w:firstLine="448" w:firstLineChars="200"/>
        <w:jc w:val="left"/>
        <w:rPr>
          <w:b/>
          <w:color w:val="auto"/>
          <w:sz w:val="24"/>
        </w:rPr>
      </w:pPr>
      <w:r>
        <w:rPr>
          <w:rFonts w:hint="eastAsia"/>
          <w:b/>
          <w:color w:val="auto"/>
          <w:sz w:val="24"/>
        </w:rPr>
        <w:t>总体服务要求</w:t>
      </w:r>
    </w:p>
    <w:p w14:paraId="05590597">
      <w:pPr>
        <w:keepLines w:val="0"/>
        <w:pageBreakBefore w:val="0"/>
        <w:widowControl w:val="0"/>
        <w:kinsoku/>
        <w:wordWrap/>
        <w:overflowPunct/>
        <w:bidi w:val="0"/>
        <w:ind w:firstLine="448" w:firstLineChars="200"/>
        <w:jc w:val="left"/>
        <w:rPr>
          <w:color w:val="auto"/>
          <w:sz w:val="24"/>
        </w:rPr>
      </w:pPr>
      <w:r>
        <w:rPr>
          <w:rFonts w:hint="eastAsia"/>
          <w:color w:val="auto"/>
          <w:sz w:val="24"/>
        </w:rPr>
        <w:t>话务呼叫中心系统的服务需要满足如下要求：</w:t>
      </w:r>
    </w:p>
    <w:p w14:paraId="21A5C3EB">
      <w:pPr>
        <w:keepLines w:val="0"/>
        <w:pageBreakBefore w:val="0"/>
        <w:widowControl w:val="0"/>
        <w:kinsoku/>
        <w:wordWrap/>
        <w:overflowPunct/>
        <w:bidi w:val="0"/>
        <w:ind w:firstLine="448" w:firstLineChars="200"/>
        <w:jc w:val="left"/>
        <w:rPr>
          <w:color w:val="auto"/>
          <w:sz w:val="24"/>
        </w:rPr>
      </w:pPr>
      <w:r>
        <w:rPr>
          <w:rFonts w:hint="eastAsia"/>
          <w:color w:val="auto"/>
          <w:sz w:val="24"/>
        </w:rPr>
        <w:t>（1）需支持符合安全可靠测评要求的服务器、</w:t>
      </w:r>
      <w:r>
        <w:rPr>
          <w:rFonts w:hint="eastAsia" w:cs="宋体"/>
          <w:color w:val="auto"/>
          <w:kern w:val="0"/>
          <w:sz w:val="24"/>
          <w:szCs w:val="21"/>
        </w:rPr>
        <w:t>符合安全可靠测评要求的操作系统</w:t>
      </w:r>
      <w:r>
        <w:rPr>
          <w:rFonts w:hint="eastAsia"/>
          <w:color w:val="auto"/>
          <w:sz w:val="24"/>
        </w:rPr>
        <w:t>、</w:t>
      </w:r>
      <w:r>
        <w:rPr>
          <w:rFonts w:hint="eastAsia" w:cs="宋体"/>
          <w:color w:val="auto"/>
          <w:kern w:val="0"/>
          <w:sz w:val="24"/>
          <w:szCs w:val="21"/>
        </w:rPr>
        <w:t>符合安全可靠测评要求的</w:t>
      </w:r>
      <w:r>
        <w:rPr>
          <w:rFonts w:hint="eastAsia"/>
          <w:color w:val="auto"/>
          <w:sz w:val="24"/>
        </w:rPr>
        <w:t>数据库。</w:t>
      </w:r>
    </w:p>
    <w:p w14:paraId="11BBDD8F">
      <w:pPr>
        <w:keepLines w:val="0"/>
        <w:pageBreakBefore w:val="0"/>
        <w:widowControl w:val="0"/>
        <w:kinsoku/>
        <w:wordWrap/>
        <w:overflowPunct/>
        <w:bidi w:val="0"/>
        <w:ind w:firstLine="448" w:firstLineChars="200"/>
        <w:jc w:val="left"/>
        <w:rPr>
          <w:color w:val="auto"/>
          <w:sz w:val="24"/>
        </w:rPr>
      </w:pPr>
      <w:r>
        <w:rPr>
          <w:rFonts w:hint="eastAsia"/>
          <w:color w:val="auto"/>
          <w:sz w:val="24"/>
        </w:rPr>
        <w:t>（2）支持分布式部署、统一调度，支持音视频接入资源共享。</w:t>
      </w:r>
    </w:p>
    <w:p w14:paraId="765831B2">
      <w:pPr>
        <w:keepLines w:val="0"/>
        <w:pageBreakBefore w:val="0"/>
        <w:widowControl w:val="0"/>
        <w:kinsoku/>
        <w:wordWrap/>
        <w:overflowPunct/>
        <w:bidi w:val="0"/>
        <w:ind w:firstLine="448" w:firstLineChars="200"/>
        <w:jc w:val="left"/>
        <w:rPr>
          <w:color w:val="auto"/>
          <w:sz w:val="24"/>
        </w:rPr>
      </w:pPr>
      <w:r>
        <w:rPr>
          <w:rFonts w:hint="eastAsia"/>
          <w:color w:val="auto"/>
          <w:sz w:val="24"/>
        </w:rPr>
        <w:t>（3）支持多租户、按需分配，支持按需使用、平滑扩容、大容量。</w:t>
      </w:r>
    </w:p>
    <w:p w14:paraId="295D8955">
      <w:pPr>
        <w:keepLines w:val="0"/>
        <w:pageBreakBefore w:val="0"/>
        <w:widowControl w:val="0"/>
        <w:kinsoku/>
        <w:wordWrap/>
        <w:overflowPunct/>
        <w:bidi w:val="0"/>
        <w:ind w:firstLine="448" w:firstLineChars="200"/>
        <w:jc w:val="left"/>
        <w:rPr>
          <w:color w:val="auto"/>
          <w:sz w:val="24"/>
        </w:rPr>
      </w:pPr>
      <w:r>
        <w:rPr>
          <w:rFonts w:hint="eastAsia"/>
          <w:color w:val="auto"/>
          <w:sz w:val="24"/>
        </w:rPr>
        <w:t>（4）支持与运营商核心网固网、移网、IMS网络对接。</w:t>
      </w:r>
    </w:p>
    <w:p w14:paraId="720BC8EB">
      <w:pPr>
        <w:keepLines w:val="0"/>
        <w:pageBreakBefore w:val="0"/>
        <w:widowControl w:val="0"/>
        <w:kinsoku/>
        <w:wordWrap/>
        <w:overflowPunct/>
        <w:bidi w:val="0"/>
        <w:ind w:firstLine="448" w:firstLineChars="200"/>
        <w:jc w:val="left"/>
        <w:rPr>
          <w:color w:val="auto"/>
          <w:sz w:val="24"/>
        </w:rPr>
      </w:pPr>
      <w:r>
        <w:rPr>
          <w:rFonts w:hint="eastAsia"/>
          <w:color w:val="auto"/>
          <w:sz w:val="24"/>
        </w:rPr>
        <w:t>（5）支持分层的模块化结构，软件设计具有很好的防护、容错、故障监视等功能。</w:t>
      </w:r>
    </w:p>
    <w:p w14:paraId="68324601">
      <w:pPr>
        <w:keepLines w:val="0"/>
        <w:pageBreakBefore w:val="0"/>
        <w:widowControl w:val="0"/>
        <w:kinsoku/>
        <w:wordWrap/>
        <w:overflowPunct/>
        <w:bidi w:val="0"/>
        <w:ind w:firstLine="448" w:firstLineChars="200"/>
        <w:jc w:val="left"/>
        <w:rPr>
          <w:color w:val="auto"/>
          <w:sz w:val="24"/>
        </w:rPr>
      </w:pPr>
      <w:r>
        <w:rPr>
          <w:rFonts w:hint="eastAsia"/>
          <w:color w:val="auto"/>
          <w:sz w:val="24"/>
        </w:rPr>
        <w:t>（6）★数据库不允许使用Oracle、DB2，操作系统不允许使用Centos、Redhat。</w:t>
      </w:r>
    </w:p>
    <w:p w14:paraId="40FB16C9">
      <w:pPr>
        <w:keepLines w:val="0"/>
        <w:pageBreakBefore w:val="0"/>
        <w:widowControl w:val="0"/>
        <w:kinsoku/>
        <w:wordWrap/>
        <w:overflowPunct/>
        <w:bidi w:val="0"/>
        <w:ind w:firstLine="448" w:firstLineChars="200"/>
        <w:jc w:val="left"/>
        <w:rPr>
          <w:color w:val="auto"/>
          <w:sz w:val="24"/>
        </w:rPr>
      </w:pPr>
      <w:r>
        <w:rPr>
          <w:rFonts w:hint="eastAsia"/>
          <w:color w:val="auto"/>
          <w:sz w:val="24"/>
        </w:rPr>
        <w:t>（7）★不允许使用开源框架软件，如FreeSwitch等开源软件。</w:t>
      </w:r>
    </w:p>
    <w:p w14:paraId="18704782">
      <w:pPr>
        <w:keepLines w:val="0"/>
        <w:pageBreakBefore w:val="0"/>
        <w:widowControl w:val="0"/>
        <w:kinsoku/>
        <w:wordWrap/>
        <w:overflowPunct/>
        <w:bidi w:val="0"/>
        <w:ind w:firstLine="448" w:firstLineChars="200"/>
        <w:jc w:val="left"/>
        <w:rPr>
          <w:color w:val="auto"/>
          <w:sz w:val="24"/>
        </w:rPr>
      </w:pPr>
      <w:r>
        <w:rPr>
          <w:rFonts w:hint="eastAsia"/>
          <w:color w:val="auto"/>
          <w:sz w:val="24"/>
        </w:rPr>
        <w:t>（8）系统性能要求</w:t>
      </w:r>
    </w:p>
    <w:p w14:paraId="012EC96C">
      <w:pPr>
        <w:keepLines w:val="0"/>
        <w:pageBreakBefore w:val="0"/>
        <w:widowControl w:val="0"/>
        <w:kinsoku/>
        <w:wordWrap/>
        <w:overflowPunct/>
        <w:bidi w:val="0"/>
        <w:ind w:firstLine="448" w:firstLineChars="200"/>
        <w:jc w:val="left"/>
        <w:rPr>
          <w:color w:val="auto"/>
          <w:sz w:val="24"/>
        </w:rPr>
      </w:pPr>
      <w:r>
        <w:rPr>
          <w:rFonts w:hint="eastAsia"/>
          <w:color w:val="auto"/>
          <w:sz w:val="24"/>
        </w:rPr>
        <w:t>处理能力</w:t>
      </w:r>
    </w:p>
    <w:p w14:paraId="07075B49">
      <w:pPr>
        <w:pStyle w:val="34"/>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单套排队机最大</w:t>
      </w:r>
      <w:r>
        <w:rPr>
          <w:color w:val="auto"/>
          <w:sz w:val="24"/>
        </w:rPr>
        <w:t>BHCA</w:t>
      </w:r>
      <w:r>
        <w:rPr>
          <w:rFonts w:hint="eastAsia"/>
          <w:color w:val="auto"/>
          <w:sz w:val="24"/>
        </w:rPr>
        <w:t>值（忙时每小时起呼次数）达到</w:t>
      </w:r>
      <w:r>
        <w:rPr>
          <w:color w:val="auto"/>
          <w:sz w:val="24"/>
        </w:rPr>
        <w:t>1000</w:t>
      </w:r>
      <w:r>
        <w:rPr>
          <w:rFonts w:hint="eastAsia"/>
          <w:color w:val="auto"/>
          <w:sz w:val="24"/>
        </w:rPr>
        <w:t>万次及以上</w:t>
      </w:r>
    </w:p>
    <w:p w14:paraId="6C67D5C8">
      <w:pPr>
        <w:pStyle w:val="34"/>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单套排队机最大中继数量</w:t>
      </w:r>
      <w:r>
        <w:rPr>
          <w:color w:val="auto"/>
          <w:sz w:val="24"/>
        </w:rPr>
        <w:t>50000</w:t>
      </w:r>
      <w:r>
        <w:rPr>
          <w:rFonts w:hint="eastAsia"/>
          <w:color w:val="auto"/>
          <w:sz w:val="24"/>
        </w:rPr>
        <w:t>路及以上</w:t>
      </w:r>
    </w:p>
    <w:p w14:paraId="6B7950EC">
      <w:pPr>
        <w:pStyle w:val="34"/>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单套排队机最大音频资源数量</w:t>
      </w:r>
      <w:r>
        <w:rPr>
          <w:color w:val="auto"/>
          <w:sz w:val="24"/>
        </w:rPr>
        <w:t>50000</w:t>
      </w:r>
      <w:r>
        <w:rPr>
          <w:rFonts w:hint="eastAsia"/>
          <w:color w:val="auto"/>
          <w:sz w:val="24"/>
        </w:rPr>
        <w:t>路及以上</w:t>
      </w:r>
    </w:p>
    <w:p w14:paraId="4D62AF53">
      <w:pPr>
        <w:pStyle w:val="34"/>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单套排队机最大座席数量</w:t>
      </w:r>
      <w:r>
        <w:rPr>
          <w:color w:val="auto"/>
          <w:sz w:val="24"/>
        </w:rPr>
        <w:t>50000</w:t>
      </w:r>
      <w:r>
        <w:rPr>
          <w:rFonts w:hint="eastAsia"/>
          <w:color w:val="auto"/>
          <w:sz w:val="24"/>
        </w:rPr>
        <w:t>个及以上</w:t>
      </w:r>
    </w:p>
    <w:p w14:paraId="0973B5DE">
      <w:pPr>
        <w:keepNext w:val="0"/>
        <w:keepLines w:val="0"/>
        <w:pageBreakBefore w:val="0"/>
        <w:widowControl w:val="0"/>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时延概率</w:t>
      </w:r>
    </w:p>
    <w:p w14:paraId="0EEE4F11">
      <w:pPr>
        <w:keepNext w:val="0"/>
        <w:keepLines w:val="0"/>
        <w:pageBreakBefore w:val="0"/>
        <w:widowControl w:val="0"/>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当系统收到一个通知消息的请求时，此消息准备好之前的时延（即从系统收到请求到执行请求的时间），系统忙时：</w:t>
      </w:r>
    </w:p>
    <w:p w14:paraId="36EB3298">
      <w:pPr>
        <w:pStyle w:val="34"/>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color w:val="auto"/>
          <w:sz w:val="24"/>
        </w:rPr>
        <w:t>95%</w:t>
      </w:r>
      <w:r>
        <w:rPr>
          <w:rFonts w:hint="eastAsia"/>
          <w:color w:val="auto"/>
          <w:sz w:val="24"/>
        </w:rPr>
        <w:t>的被请求消息在</w:t>
      </w:r>
      <w:r>
        <w:rPr>
          <w:color w:val="auto"/>
          <w:sz w:val="24"/>
        </w:rPr>
        <w:t>0.5</w:t>
      </w:r>
      <w:r>
        <w:rPr>
          <w:rFonts w:hint="eastAsia"/>
          <w:color w:val="auto"/>
          <w:sz w:val="24"/>
        </w:rPr>
        <w:t>秒内提供。</w:t>
      </w:r>
    </w:p>
    <w:p w14:paraId="766597B3">
      <w:pPr>
        <w:pStyle w:val="34"/>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color w:val="auto"/>
          <w:sz w:val="24"/>
        </w:rPr>
        <w:t>99.9%</w:t>
      </w:r>
      <w:r>
        <w:rPr>
          <w:rFonts w:hint="eastAsia"/>
          <w:color w:val="auto"/>
          <w:sz w:val="24"/>
        </w:rPr>
        <w:t>的被请求消息在</w:t>
      </w:r>
      <w:r>
        <w:rPr>
          <w:color w:val="auto"/>
          <w:sz w:val="24"/>
        </w:rPr>
        <w:t>2</w:t>
      </w:r>
      <w:r>
        <w:rPr>
          <w:rFonts w:hint="eastAsia"/>
          <w:color w:val="auto"/>
          <w:sz w:val="24"/>
        </w:rPr>
        <w:t>秒内提供。</w:t>
      </w:r>
    </w:p>
    <w:p w14:paraId="7E8DCF48">
      <w:pPr>
        <w:pStyle w:val="34"/>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color w:val="auto"/>
          <w:sz w:val="24"/>
        </w:rPr>
        <w:t>99.99%</w:t>
      </w:r>
      <w:r>
        <w:rPr>
          <w:rFonts w:hint="eastAsia"/>
          <w:color w:val="auto"/>
          <w:sz w:val="24"/>
        </w:rPr>
        <w:t>的被请求消息在</w:t>
      </w:r>
      <w:r>
        <w:rPr>
          <w:color w:val="auto"/>
          <w:sz w:val="24"/>
        </w:rPr>
        <w:t>5</w:t>
      </w:r>
      <w:r>
        <w:rPr>
          <w:rFonts w:hint="eastAsia"/>
          <w:color w:val="auto"/>
          <w:sz w:val="24"/>
        </w:rPr>
        <w:t>秒内提供。</w:t>
      </w:r>
    </w:p>
    <w:p w14:paraId="6879C48D">
      <w:pPr>
        <w:keepNext w:val="0"/>
        <w:keepLines w:val="0"/>
        <w:pageBreakBefore w:val="0"/>
        <w:widowControl w:val="0"/>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（9）系统可靠性要求</w:t>
      </w:r>
    </w:p>
    <w:p w14:paraId="3811797F">
      <w:pPr>
        <w:keepNext w:val="0"/>
        <w:keepLines w:val="0"/>
        <w:pageBreakBefore w:val="0"/>
        <w:widowControl w:val="0"/>
        <w:kinsoku/>
        <w:wordWrap/>
        <w:overflowPunct/>
        <w:topLinePunct w:val="0"/>
        <w:autoSpaceDE/>
        <w:autoSpaceDN/>
        <w:bidi w:val="0"/>
        <w:adjustRightInd/>
        <w:snapToGrid/>
        <w:spacing w:line="360" w:lineRule="auto"/>
        <w:ind w:left="0" w:leftChars="0" w:firstLine="448" w:firstLineChars="200"/>
        <w:jc w:val="left"/>
        <w:textAlignment w:val="auto"/>
        <w:rPr>
          <w:color w:val="auto"/>
          <w:sz w:val="24"/>
        </w:rPr>
      </w:pPr>
      <w:r>
        <w:rPr>
          <w:rFonts w:hint="eastAsia"/>
          <w:color w:val="auto"/>
          <w:sz w:val="24"/>
        </w:rPr>
        <w:t>遵循电信级平台技术标准。</w:t>
      </w:r>
    </w:p>
    <w:tbl>
      <w:tblPr>
        <w:tblStyle w:val="22"/>
        <w:tblW w:w="88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26"/>
        <w:gridCol w:w="4221"/>
      </w:tblGrid>
      <w:tr w14:paraId="2CA42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626" w:type="dxa"/>
            <w:tcBorders>
              <w:top w:val="single" w:color="000000" w:sz="6" w:space="0"/>
              <w:left w:val="single" w:color="auto" w:sz="6" w:space="0"/>
              <w:bottom w:val="single" w:color="000000" w:sz="6" w:space="0"/>
              <w:right w:val="single" w:color="000000" w:sz="6" w:space="0"/>
            </w:tcBorders>
            <w:shd w:val="clear" w:color="auto" w:fill="D9D9D9"/>
            <w:vAlign w:val="center"/>
          </w:tcPr>
          <w:p w14:paraId="6420F6AD">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衡量项目</w:t>
            </w:r>
          </w:p>
        </w:tc>
        <w:tc>
          <w:tcPr>
            <w:tcW w:w="4221" w:type="dxa"/>
            <w:tcBorders>
              <w:top w:val="single" w:color="000000" w:sz="6" w:space="0"/>
              <w:left w:val="single" w:color="auto" w:sz="6" w:space="0"/>
              <w:bottom w:val="single" w:color="000000" w:sz="6" w:space="0"/>
              <w:right w:val="single" w:color="auto" w:sz="6" w:space="0"/>
            </w:tcBorders>
            <w:shd w:val="clear" w:color="auto" w:fill="D9D9D9"/>
            <w:vAlign w:val="center"/>
          </w:tcPr>
          <w:p w14:paraId="0DAF610F">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衡量指标</w:t>
            </w:r>
          </w:p>
        </w:tc>
      </w:tr>
      <w:tr w14:paraId="3486F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26" w:type="dxa"/>
            <w:tcBorders>
              <w:top w:val="single" w:color="000000" w:sz="6" w:space="0"/>
              <w:bottom w:val="single" w:color="000000" w:sz="6" w:space="0"/>
              <w:right w:val="single" w:color="000000" w:sz="6" w:space="0"/>
            </w:tcBorders>
            <w:vAlign w:val="center"/>
          </w:tcPr>
          <w:p w14:paraId="766366C9">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可用度</w:t>
            </w:r>
          </w:p>
        </w:tc>
        <w:tc>
          <w:tcPr>
            <w:tcW w:w="4221" w:type="dxa"/>
            <w:tcBorders>
              <w:top w:val="single" w:color="000000" w:sz="6" w:space="0"/>
              <w:bottom w:val="single" w:color="000000" w:sz="6" w:space="0"/>
            </w:tcBorders>
            <w:vAlign w:val="center"/>
          </w:tcPr>
          <w:p w14:paraId="00D7DCF6">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≥99.999%</w:t>
            </w:r>
          </w:p>
        </w:tc>
      </w:tr>
      <w:tr w14:paraId="74E7C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26" w:type="dxa"/>
            <w:tcBorders>
              <w:top w:val="single" w:color="000000" w:sz="6" w:space="0"/>
              <w:bottom w:val="single" w:color="000000" w:sz="6" w:space="0"/>
              <w:right w:val="single" w:color="000000" w:sz="6" w:space="0"/>
            </w:tcBorders>
            <w:vAlign w:val="center"/>
          </w:tcPr>
          <w:p w14:paraId="46C0A961">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平均维修时长（MTTR）</w:t>
            </w:r>
          </w:p>
        </w:tc>
        <w:tc>
          <w:tcPr>
            <w:tcW w:w="4221" w:type="dxa"/>
            <w:tcBorders>
              <w:top w:val="single" w:color="000000" w:sz="6" w:space="0"/>
              <w:bottom w:val="single" w:color="000000" w:sz="6" w:space="0"/>
            </w:tcBorders>
            <w:vAlign w:val="center"/>
          </w:tcPr>
          <w:p w14:paraId="26F070F1">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≤30分钟</w:t>
            </w:r>
          </w:p>
        </w:tc>
      </w:tr>
      <w:tr w14:paraId="24E26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26" w:type="dxa"/>
            <w:tcBorders>
              <w:top w:val="single" w:color="000000" w:sz="6" w:space="0"/>
              <w:bottom w:val="single" w:color="000000" w:sz="6" w:space="0"/>
              <w:right w:val="single" w:color="000000" w:sz="6" w:space="0"/>
            </w:tcBorders>
            <w:vAlign w:val="center"/>
          </w:tcPr>
          <w:p w14:paraId="19CD8CCA">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系统启动时间</w:t>
            </w:r>
          </w:p>
        </w:tc>
        <w:tc>
          <w:tcPr>
            <w:tcW w:w="4221" w:type="dxa"/>
            <w:tcBorders>
              <w:top w:val="single" w:color="000000" w:sz="6" w:space="0"/>
              <w:bottom w:val="single" w:color="000000" w:sz="6" w:space="0"/>
            </w:tcBorders>
            <w:vAlign w:val="center"/>
          </w:tcPr>
          <w:p w14:paraId="1861CB3A">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&lt;3分钟</w:t>
            </w:r>
          </w:p>
        </w:tc>
      </w:tr>
      <w:tr w14:paraId="6D288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26" w:type="dxa"/>
            <w:tcBorders>
              <w:top w:val="single" w:color="000000" w:sz="6" w:space="0"/>
              <w:bottom w:val="single" w:color="000000" w:sz="6" w:space="0"/>
              <w:right w:val="single" w:color="000000" w:sz="6" w:space="0"/>
            </w:tcBorders>
            <w:vAlign w:val="center"/>
          </w:tcPr>
          <w:p w14:paraId="6E0B5932">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双机切换时间</w:t>
            </w:r>
          </w:p>
        </w:tc>
        <w:tc>
          <w:tcPr>
            <w:tcW w:w="4221" w:type="dxa"/>
            <w:tcBorders>
              <w:top w:val="single" w:color="000000" w:sz="6" w:space="0"/>
              <w:bottom w:val="single" w:color="000000" w:sz="6" w:space="0"/>
            </w:tcBorders>
            <w:vAlign w:val="center"/>
          </w:tcPr>
          <w:p w14:paraId="26111B01">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≤小于5秒</w:t>
            </w:r>
          </w:p>
        </w:tc>
      </w:tr>
      <w:tr w14:paraId="65FE7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626" w:type="dxa"/>
            <w:tcBorders>
              <w:top w:val="single" w:color="000000" w:sz="6" w:space="0"/>
              <w:bottom w:val="single" w:color="000000" w:sz="6" w:space="0"/>
              <w:right w:val="single" w:color="000000" w:sz="6" w:space="0"/>
            </w:tcBorders>
            <w:vAlign w:val="center"/>
          </w:tcPr>
          <w:p w14:paraId="1F237B9D">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双机切换成功率</w:t>
            </w:r>
          </w:p>
        </w:tc>
        <w:tc>
          <w:tcPr>
            <w:tcW w:w="4221" w:type="dxa"/>
            <w:tcBorders>
              <w:top w:val="single" w:color="000000" w:sz="6" w:space="0"/>
              <w:bottom w:val="single" w:color="000000" w:sz="6" w:space="0"/>
            </w:tcBorders>
            <w:vAlign w:val="center"/>
          </w:tcPr>
          <w:p w14:paraId="7153DA6B">
            <w:pPr>
              <w:pStyle w:val="54"/>
              <w:keepLines w:val="0"/>
              <w:pageBreakBefore w:val="0"/>
              <w:widowControl w:val="0"/>
              <w:kinsoku/>
              <w:wordWrap/>
              <w:overflowPunct/>
              <w:bidi w:val="0"/>
              <w:snapToGrid w:val="0"/>
              <w:spacing w:before="0" w:beforeLines="0" w:line="240" w:lineRule="auto"/>
              <w:ind w:left="0" w:firstLine="0" w:firstLineChars="0"/>
              <w:jc w:val="center"/>
              <w:rPr>
                <w:rFonts w:hint="eastAsia"/>
                <w:color w:val="auto"/>
              </w:rPr>
            </w:pPr>
            <w:r>
              <w:rPr>
                <w:color w:val="auto"/>
              </w:rPr>
              <w:t>≥99.9％</w:t>
            </w:r>
          </w:p>
        </w:tc>
      </w:tr>
    </w:tbl>
    <w:p w14:paraId="5997C2F6">
      <w:pPr>
        <w:keepLines w:val="0"/>
        <w:pageBreakBefore w:val="0"/>
        <w:widowControl w:val="0"/>
        <w:kinsoku/>
        <w:wordWrap/>
        <w:overflowPunct/>
        <w:bidi w:val="0"/>
        <w:ind w:firstLine="448" w:firstLineChars="200"/>
        <w:jc w:val="left"/>
        <w:rPr>
          <w:color w:val="auto"/>
          <w:sz w:val="24"/>
        </w:rPr>
      </w:pPr>
      <w:r>
        <w:rPr>
          <w:rFonts w:hint="eastAsia"/>
          <w:color w:val="auto"/>
          <w:sz w:val="24"/>
        </w:rPr>
        <w:t>（10）系统安全要求</w:t>
      </w:r>
    </w:p>
    <w:p w14:paraId="10CFEAFC">
      <w:pPr>
        <w:keepLines w:val="0"/>
        <w:pageBreakBefore w:val="0"/>
        <w:widowControl w:val="0"/>
        <w:kinsoku/>
        <w:wordWrap/>
        <w:overflowPunct/>
        <w:bidi w:val="0"/>
        <w:ind w:firstLine="448" w:firstLineChars="200"/>
        <w:jc w:val="left"/>
        <w:rPr>
          <w:color w:val="auto"/>
          <w:sz w:val="24"/>
        </w:rPr>
      </w:pPr>
      <w:r>
        <w:rPr>
          <w:rFonts w:hint="eastAsia"/>
          <w:color w:val="auto"/>
          <w:sz w:val="24"/>
        </w:rPr>
        <w:t>系统应具备访问权限的识别和控制功能，提供多级密码口令或使用硬件钥匙等保护措施。对各种管理员必须授予不同级别的管理权限。要保证只有授权的人员或系统可以访问某种功能，获取业务数据，有非法访问或系统安全性受到破坏时必须告警。任何远程登录用户的口令均必须具有有效期，有效期满则自行作废。</w:t>
      </w:r>
    </w:p>
    <w:p w14:paraId="171257B8">
      <w:pPr>
        <w:keepLines w:val="0"/>
        <w:pageBreakBefore w:val="0"/>
        <w:widowControl w:val="0"/>
        <w:kinsoku/>
        <w:wordWrap/>
        <w:overflowPunct/>
        <w:bidi w:val="0"/>
        <w:ind w:firstLine="448" w:firstLineChars="200"/>
        <w:jc w:val="left"/>
        <w:rPr>
          <w:color w:val="auto"/>
          <w:sz w:val="24"/>
        </w:rPr>
      </w:pPr>
      <w:r>
        <w:rPr>
          <w:rFonts w:hint="eastAsia"/>
          <w:color w:val="auto"/>
          <w:sz w:val="24"/>
        </w:rPr>
        <w:t>系统应提供日志记录功能，以便及时掌握系统安全状态；操作系统应符合C2级以上安全标准；提供完整的操作系统监控、报警和故障处理能力；操作系统的配置直接影响系统的安全，应定期对文件、帐户、组、口令的配置检测，以保证操作系统的坚固程度；应定期对可执行程序作完整性检查，以防止被恶意修改；能够监控应用程序的运行情况；日志中要求采用错误标识代码准确标识错误点。</w:t>
      </w:r>
    </w:p>
    <w:p w14:paraId="5211D4BF">
      <w:pPr>
        <w:keepLines w:val="0"/>
        <w:pageBreakBefore w:val="0"/>
        <w:widowControl w:val="0"/>
        <w:kinsoku/>
        <w:wordWrap/>
        <w:overflowPunct/>
        <w:bidi w:val="0"/>
        <w:ind w:firstLine="448" w:firstLineChars="200"/>
        <w:jc w:val="left"/>
        <w:rPr>
          <w:color w:val="auto"/>
          <w:sz w:val="24"/>
        </w:rPr>
      </w:pPr>
      <w:r>
        <w:rPr>
          <w:rFonts w:hint="eastAsia"/>
          <w:color w:val="auto"/>
          <w:sz w:val="24"/>
        </w:rPr>
        <w:t>系统应具有安全审计功能，和外部系统之间的连接采用特定的认证和访问控制鉴权。</w:t>
      </w:r>
    </w:p>
    <w:p w14:paraId="2448932D">
      <w:pPr>
        <w:keepLines w:val="0"/>
        <w:pageBreakBefore w:val="0"/>
        <w:widowControl w:val="0"/>
        <w:kinsoku/>
        <w:wordWrap/>
        <w:overflowPunct/>
        <w:bidi w:val="0"/>
        <w:ind w:firstLine="448" w:firstLineChars="200"/>
        <w:jc w:val="left"/>
        <w:rPr>
          <w:b/>
          <w:color w:val="auto"/>
          <w:sz w:val="24"/>
        </w:rPr>
      </w:pPr>
      <w:r>
        <w:rPr>
          <w:rFonts w:hint="eastAsia"/>
          <w:b/>
          <w:color w:val="auto"/>
          <w:sz w:val="24"/>
        </w:rPr>
        <w:t>功能要求</w:t>
      </w:r>
    </w:p>
    <w:p w14:paraId="7CB6A778">
      <w:pPr>
        <w:keepLines w:val="0"/>
        <w:pageBreakBefore w:val="0"/>
        <w:widowControl w:val="0"/>
        <w:kinsoku/>
        <w:wordWrap/>
        <w:overflowPunct/>
        <w:bidi w:val="0"/>
        <w:ind w:firstLine="448" w:firstLineChars="200"/>
        <w:jc w:val="left"/>
        <w:rPr>
          <w:color w:val="auto"/>
          <w:sz w:val="24"/>
        </w:rPr>
      </w:pPr>
      <w:r>
        <w:rPr>
          <w:rFonts w:hint="eastAsia"/>
          <w:color w:val="auto"/>
          <w:sz w:val="24"/>
        </w:rPr>
        <w:t>（1）音视频编解码能力</w:t>
      </w:r>
    </w:p>
    <w:p w14:paraId="532E6D93">
      <w:pPr>
        <w:keepLines w:val="0"/>
        <w:pageBreakBefore w:val="0"/>
        <w:widowControl w:val="0"/>
        <w:kinsoku/>
        <w:wordWrap/>
        <w:overflowPunct/>
        <w:bidi w:val="0"/>
        <w:ind w:firstLine="448" w:firstLineChars="200"/>
        <w:jc w:val="left"/>
        <w:rPr>
          <w:color w:val="auto"/>
          <w:sz w:val="24"/>
        </w:rPr>
      </w:pPr>
      <w:r>
        <w:rPr>
          <w:rFonts w:hint="eastAsia"/>
          <w:color w:val="auto"/>
          <w:sz w:val="24"/>
        </w:rPr>
        <w:t>接入媒体编解码</w:t>
      </w:r>
    </w:p>
    <w:p w14:paraId="5360C18D">
      <w:pPr>
        <w:keepLines w:val="0"/>
        <w:pageBreakBefore w:val="0"/>
        <w:widowControl w:val="0"/>
        <w:kinsoku/>
        <w:wordWrap/>
        <w:overflowPunct/>
        <w:bidi w:val="0"/>
        <w:ind w:firstLine="448" w:firstLineChars="200"/>
        <w:jc w:val="left"/>
        <w:rPr>
          <w:color w:val="auto"/>
          <w:sz w:val="24"/>
        </w:rPr>
      </w:pPr>
      <w:r>
        <w:rPr>
          <w:rFonts w:hint="eastAsia"/>
          <w:color w:val="auto"/>
          <w:sz w:val="24"/>
        </w:rPr>
        <w:t>音频编解码</w:t>
      </w:r>
    </w:p>
    <w:p w14:paraId="701A5AFD">
      <w:pPr>
        <w:keepLines w:val="0"/>
        <w:pageBreakBefore w:val="0"/>
        <w:widowControl w:val="0"/>
        <w:kinsoku/>
        <w:wordWrap/>
        <w:overflowPunct/>
        <w:bidi w:val="0"/>
        <w:ind w:firstLine="448" w:firstLineChars="200"/>
        <w:jc w:val="left"/>
        <w:rPr>
          <w:color w:val="auto"/>
          <w:sz w:val="24"/>
        </w:rPr>
      </w:pPr>
      <w:r>
        <w:rPr>
          <w:rFonts w:hint="eastAsia"/>
          <w:color w:val="auto"/>
          <w:sz w:val="24"/>
        </w:rPr>
        <w:t>支持OKI24k（vox）、OKI32k（vox）、wav等格式的语音文件，支持G.711、G.729、AMR-NB、iLBC等编解码。</w:t>
      </w:r>
    </w:p>
    <w:p w14:paraId="482C18C9">
      <w:pPr>
        <w:keepLines w:val="0"/>
        <w:pageBreakBefore w:val="0"/>
        <w:widowControl w:val="0"/>
        <w:kinsoku/>
        <w:wordWrap/>
        <w:overflowPunct/>
        <w:bidi w:val="0"/>
        <w:ind w:firstLine="448" w:firstLineChars="200"/>
        <w:jc w:val="left"/>
        <w:rPr>
          <w:color w:val="auto"/>
          <w:sz w:val="24"/>
        </w:rPr>
      </w:pPr>
      <w:r>
        <w:rPr>
          <w:rFonts w:hint="eastAsia"/>
          <w:color w:val="auto"/>
          <w:sz w:val="24"/>
        </w:rPr>
        <w:t>支持RFC2833 带外传递号码</w:t>
      </w:r>
    </w:p>
    <w:p w14:paraId="2D890F8C">
      <w:pPr>
        <w:keepLines w:val="0"/>
        <w:pageBreakBefore w:val="0"/>
        <w:widowControl w:val="0"/>
        <w:kinsoku/>
        <w:wordWrap/>
        <w:overflowPunct/>
        <w:bidi w:val="0"/>
        <w:ind w:firstLine="448" w:firstLineChars="200"/>
        <w:jc w:val="left"/>
        <w:rPr>
          <w:color w:val="auto"/>
          <w:sz w:val="24"/>
        </w:rPr>
      </w:pPr>
      <w:r>
        <w:rPr>
          <w:rFonts w:hint="eastAsia"/>
          <w:color w:val="auto"/>
          <w:sz w:val="24"/>
        </w:rPr>
        <w:t>支持RFC2198冗余传输</w:t>
      </w:r>
    </w:p>
    <w:p w14:paraId="4180CE91">
      <w:pPr>
        <w:keepLines w:val="0"/>
        <w:pageBreakBefore w:val="0"/>
        <w:widowControl w:val="0"/>
        <w:kinsoku/>
        <w:wordWrap/>
        <w:overflowPunct/>
        <w:bidi w:val="0"/>
        <w:ind w:firstLine="448" w:firstLineChars="200"/>
        <w:jc w:val="left"/>
        <w:rPr>
          <w:color w:val="auto"/>
          <w:sz w:val="24"/>
        </w:rPr>
      </w:pPr>
      <w:r>
        <w:rPr>
          <w:rFonts w:hint="eastAsia"/>
          <w:color w:val="auto"/>
          <w:sz w:val="24"/>
        </w:rPr>
        <w:t>支持静音压缩</w:t>
      </w:r>
    </w:p>
    <w:p w14:paraId="5A8FCC23">
      <w:pPr>
        <w:keepLines w:val="0"/>
        <w:pageBreakBefore w:val="0"/>
        <w:widowControl w:val="0"/>
        <w:kinsoku/>
        <w:wordWrap/>
        <w:overflowPunct/>
        <w:bidi w:val="0"/>
        <w:ind w:firstLine="448" w:firstLineChars="200"/>
        <w:jc w:val="left"/>
        <w:rPr>
          <w:color w:val="auto"/>
          <w:sz w:val="24"/>
        </w:rPr>
      </w:pPr>
      <w:r>
        <w:rPr>
          <w:rFonts w:hint="eastAsia"/>
          <w:color w:val="auto"/>
          <w:sz w:val="24"/>
        </w:rPr>
        <w:t>支持丢包补偿、动态Jitter Buffer等语音质量增强</w:t>
      </w:r>
    </w:p>
    <w:p w14:paraId="39166BF8">
      <w:pPr>
        <w:keepLines w:val="0"/>
        <w:pageBreakBefore w:val="0"/>
        <w:widowControl w:val="0"/>
        <w:kinsoku/>
        <w:wordWrap/>
        <w:overflowPunct/>
        <w:bidi w:val="0"/>
        <w:ind w:firstLine="448" w:firstLineChars="200"/>
        <w:jc w:val="left"/>
        <w:rPr>
          <w:color w:val="auto"/>
          <w:sz w:val="24"/>
        </w:rPr>
      </w:pPr>
      <w:r>
        <w:rPr>
          <w:rFonts w:hint="eastAsia"/>
          <w:color w:val="auto"/>
          <w:sz w:val="24"/>
        </w:rPr>
        <w:t>高清音频编解码</w:t>
      </w:r>
    </w:p>
    <w:p w14:paraId="4188E36F">
      <w:pPr>
        <w:keepLines w:val="0"/>
        <w:pageBreakBefore w:val="0"/>
        <w:widowControl w:val="0"/>
        <w:kinsoku/>
        <w:wordWrap/>
        <w:overflowPunct/>
        <w:bidi w:val="0"/>
        <w:ind w:firstLine="448" w:firstLineChars="200"/>
        <w:jc w:val="left"/>
        <w:rPr>
          <w:color w:val="auto"/>
          <w:sz w:val="24"/>
        </w:rPr>
      </w:pPr>
      <w:r>
        <w:rPr>
          <w:rFonts w:hint="eastAsia"/>
          <w:color w:val="auto"/>
          <w:sz w:val="24"/>
        </w:rPr>
        <w:t>支持AMR-WB编解码</w:t>
      </w:r>
    </w:p>
    <w:p w14:paraId="42C32082">
      <w:pPr>
        <w:keepLines w:val="0"/>
        <w:pageBreakBefore w:val="0"/>
        <w:widowControl w:val="0"/>
        <w:kinsoku/>
        <w:wordWrap/>
        <w:overflowPunct/>
        <w:bidi w:val="0"/>
        <w:ind w:firstLine="448" w:firstLineChars="200"/>
        <w:jc w:val="left"/>
        <w:rPr>
          <w:color w:val="auto"/>
          <w:sz w:val="24"/>
        </w:rPr>
      </w:pPr>
      <w:r>
        <w:rPr>
          <w:rFonts w:hint="eastAsia"/>
          <w:color w:val="auto"/>
          <w:sz w:val="24"/>
        </w:rPr>
        <w:t>支持视频编解码H.264，文件格式3GP，图像格式480P、720P</w:t>
      </w:r>
    </w:p>
    <w:p w14:paraId="5DB12A0F">
      <w:pPr>
        <w:keepLines w:val="0"/>
        <w:pageBreakBefore w:val="0"/>
        <w:widowControl w:val="0"/>
        <w:kinsoku/>
        <w:wordWrap/>
        <w:overflowPunct/>
        <w:bidi w:val="0"/>
        <w:ind w:firstLine="448" w:firstLineChars="200"/>
        <w:jc w:val="left"/>
        <w:rPr>
          <w:color w:val="auto"/>
          <w:sz w:val="24"/>
        </w:rPr>
      </w:pPr>
      <w:r>
        <w:rPr>
          <w:rFonts w:hint="eastAsia"/>
          <w:color w:val="auto"/>
          <w:sz w:val="24"/>
        </w:rPr>
        <w:t>（2）核心网网络接入功能</w:t>
      </w:r>
    </w:p>
    <w:p w14:paraId="582990FB">
      <w:pPr>
        <w:keepLines w:val="0"/>
        <w:pageBreakBefore w:val="0"/>
        <w:widowControl w:val="0"/>
        <w:kinsoku/>
        <w:wordWrap/>
        <w:overflowPunct/>
        <w:bidi w:val="0"/>
        <w:ind w:firstLine="448" w:firstLineChars="200"/>
        <w:jc w:val="left"/>
        <w:rPr>
          <w:color w:val="auto"/>
          <w:sz w:val="24"/>
        </w:rPr>
      </w:pPr>
      <w:r>
        <w:rPr>
          <w:rFonts w:hint="eastAsia"/>
          <w:color w:val="auto"/>
          <w:sz w:val="24"/>
        </w:rPr>
        <w:t>支持多种网络接入能力</w:t>
      </w:r>
    </w:p>
    <w:p w14:paraId="212E429C">
      <w:pPr>
        <w:keepLines w:val="0"/>
        <w:pageBreakBefore w:val="0"/>
        <w:widowControl w:val="0"/>
        <w:kinsoku/>
        <w:wordWrap/>
        <w:overflowPunct/>
        <w:bidi w:val="0"/>
        <w:ind w:firstLine="448" w:firstLineChars="200"/>
        <w:jc w:val="left"/>
        <w:rPr>
          <w:color w:val="auto"/>
          <w:sz w:val="24"/>
        </w:rPr>
      </w:pPr>
      <w:r>
        <w:rPr>
          <w:rFonts w:hint="eastAsia"/>
          <w:color w:val="auto"/>
          <w:sz w:val="24"/>
        </w:rPr>
        <w:t>应提供开放、标准的协议接口，支持SIP和BICC等宽带信令协议，系统应具有灵活的组网能力。</w:t>
      </w:r>
    </w:p>
    <w:p w14:paraId="0919FD8B">
      <w:pPr>
        <w:keepLines w:val="0"/>
        <w:pageBreakBefore w:val="0"/>
        <w:widowControl w:val="0"/>
        <w:kinsoku/>
        <w:wordWrap/>
        <w:overflowPunct/>
        <w:bidi w:val="0"/>
        <w:ind w:firstLine="448" w:firstLineChars="200"/>
        <w:jc w:val="left"/>
        <w:rPr>
          <w:color w:val="auto"/>
          <w:sz w:val="24"/>
        </w:rPr>
      </w:pPr>
      <w:r>
        <w:rPr>
          <w:rFonts w:hint="eastAsia"/>
          <w:color w:val="auto"/>
          <w:sz w:val="24"/>
        </w:rPr>
        <w:t>支持NGN SIP协议，可以和核心网软交换网络对接；</w:t>
      </w:r>
    </w:p>
    <w:p w14:paraId="31FA6EB1">
      <w:pPr>
        <w:keepLines w:val="0"/>
        <w:pageBreakBefore w:val="0"/>
        <w:widowControl w:val="0"/>
        <w:kinsoku/>
        <w:wordWrap/>
        <w:overflowPunct/>
        <w:bidi w:val="0"/>
        <w:ind w:firstLine="448" w:firstLineChars="200"/>
        <w:jc w:val="left"/>
        <w:rPr>
          <w:color w:val="auto"/>
          <w:sz w:val="24"/>
        </w:rPr>
      </w:pPr>
      <w:r>
        <w:rPr>
          <w:rFonts w:hint="eastAsia"/>
          <w:color w:val="auto"/>
          <w:sz w:val="24"/>
        </w:rPr>
        <w:t>支持IMS SIP协议，可以和核心网IMS网络对接；</w:t>
      </w:r>
    </w:p>
    <w:p w14:paraId="5A866A6C">
      <w:pPr>
        <w:keepLines w:val="0"/>
        <w:pageBreakBefore w:val="0"/>
        <w:widowControl w:val="0"/>
        <w:kinsoku/>
        <w:wordWrap/>
        <w:overflowPunct/>
        <w:bidi w:val="0"/>
        <w:ind w:firstLine="448" w:firstLineChars="200"/>
        <w:jc w:val="left"/>
        <w:rPr>
          <w:color w:val="auto"/>
          <w:sz w:val="24"/>
        </w:rPr>
      </w:pPr>
      <w:r>
        <w:rPr>
          <w:rFonts w:hint="eastAsia"/>
          <w:color w:val="auto"/>
          <w:sz w:val="24"/>
        </w:rPr>
        <w:t>支持BICC协议，可以和核心网移网网络对接；</w:t>
      </w:r>
    </w:p>
    <w:p w14:paraId="47504A2B">
      <w:pPr>
        <w:keepLines w:val="0"/>
        <w:pageBreakBefore w:val="0"/>
        <w:widowControl w:val="0"/>
        <w:kinsoku/>
        <w:wordWrap/>
        <w:overflowPunct/>
        <w:bidi w:val="0"/>
        <w:ind w:firstLine="448" w:firstLineChars="200"/>
        <w:jc w:val="left"/>
        <w:rPr>
          <w:color w:val="auto"/>
          <w:sz w:val="24"/>
        </w:rPr>
      </w:pPr>
      <w:r>
        <w:rPr>
          <w:rFonts w:hint="eastAsia"/>
          <w:color w:val="auto"/>
          <w:sz w:val="24"/>
        </w:rPr>
        <w:t>支持G.711、G.729、AMR-NB、AMR-WB、AMR2编解码语音媒体协商；</w:t>
      </w:r>
    </w:p>
    <w:p w14:paraId="5E722A61">
      <w:pPr>
        <w:keepLines w:val="0"/>
        <w:pageBreakBefore w:val="0"/>
        <w:widowControl w:val="0"/>
        <w:kinsoku/>
        <w:wordWrap/>
        <w:overflowPunct/>
        <w:bidi w:val="0"/>
        <w:ind w:firstLine="448" w:firstLineChars="200"/>
        <w:jc w:val="left"/>
        <w:rPr>
          <w:color w:val="auto"/>
          <w:sz w:val="24"/>
        </w:rPr>
      </w:pPr>
      <w:r>
        <w:rPr>
          <w:rFonts w:hint="eastAsia"/>
          <w:color w:val="auto"/>
          <w:sz w:val="24"/>
        </w:rPr>
        <w:t>支持接入固网长途软交换或移网核心网。</w:t>
      </w:r>
    </w:p>
    <w:p w14:paraId="34F1D4C2">
      <w:pPr>
        <w:keepLines w:val="0"/>
        <w:pageBreakBefore w:val="0"/>
        <w:widowControl w:val="0"/>
        <w:kinsoku/>
        <w:wordWrap/>
        <w:overflowPunct/>
        <w:bidi w:val="0"/>
        <w:ind w:firstLine="448" w:firstLineChars="200"/>
        <w:jc w:val="left"/>
        <w:rPr>
          <w:color w:val="auto"/>
          <w:sz w:val="24"/>
        </w:rPr>
      </w:pPr>
      <w:r>
        <w:rPr>
          <w:rFonts w:hint="eastAsia"/>
          <w:color w:val="auto"/>
          <w:sz w:val="24"/>
        </w:rPr>
        <w:t>投标人需要提供核心网网络接入功能描述的所有系统功能截图。</w:t>
      </w:r>
    </w:p>
    <w:p w14:paraId="3DB5C0A5">
      <w:pPr>
        <w:keepLines w:val="0"/>
        <w:pageBreakBefore w:val="0"/>
        <w:widowControl w:val="0"/>
        <w:kinsoku/>
        <w:wordWrap/>
        <w:overflowPunct/>
        <w:bidi w:val="0"/>
        <w:ind w:firstLine="448" w:firstLineChars="200"/>
        <w:jc w:val="left"/>
        <w:rPr>
          <w:color w:val="auto"/>
          <w:sz w:val="24"/>
        </w:rPr>
      </w:pPr>
      <w:r>
        <w:rPr>
          <w:rFonts w:hint="eastAsia"/>
          <w:color w:val="auto"/>
          <w:sz w:val="24"/>
        </w:rPr>
        <w:t>本期项目软件包可支持在不同站点间进行迁移调整，可根据网络接入情况的变化，对现有音频呼叫处理能力进行BICC、SIP协议的适配，以及编解码适配。</w:t>
      </w:r>
    </w:p>
    <w:p w14:paraId="21CC6ABC">
      <w:pPr>
        <w:keepLines w:val="0"/>
        <w:pageBreakBefore w:val="0"/>
        <w:widowControl w:val="0"/>
        <w:kinsoku/>
        <w:wordWrap/>
        <w:overflowPunct/>
        <w:bidi w:val="0"/>
        <w:ind w:firstLine="448" w:firstLineChars="200"/>
        <w:jc w:val="left"/>
        <w:outlineLvl w:val="3"/>
        <w:rPr>
          <w:color w:val="auto"/>
          <w:sz w:val="24"/>
        </w:rPr>
      </w:pPr>
      <w:r>
        <w:rPr>
          <w:rFonts w:hint="eastAsia"/>
          <w:color w:val="auto"/>
          <w:sz w:val="24"/>
        </w:rPr>
        <w:t>2、语音</w:t>
      </w:r>
      <w:r>
        <w:rPr>
          <w:rFonts w:hint="eastAsia" w:ascii="宋体" w:hAnsi="宋体" w:cs="宋体"/>
          <w:color w:val="auto"/>
          <w:kern w:val="0"/>
          <w:sz w:val="24"/>
          <w:szCs w:val="24"/>
        </w:rPr>
        <w:t>坐席</w:t>
      </w:r>
      <w:r>
        <w:rPr>
          <w:rFonts w:hint="eastAsia"/>
          <w:color w:val="auto"/>
          <w:sz w:val="24"/>
        </w:rPr>
        <w:t>服务</w:t>
      </w:r>
    </w:p>
    <w:p w14:paraId="334FF946">
      <w:pPr>
        <w:keepLines w:val="0"/>
        <w:pageBreakBefore w:val="0"/>
        <w:widowControl w:val="0"/>
        <w:kinsoku/>
        <w:wordWrap/>
        <w:overflowPunct/>
        <w:bidi w:val="0"/>
        <w:ind w:firstLine="448" w:firstLineChars="200"/>
        <w:jc w:val="left"/>
        <w:rPr>
          <w:color w:val="auto"/>
          <w:sz w:val="24"/>
        </w:rPr>
      </w:pPr>
      <w:r>
        <w:rPr>
          <w:rFonts w:hint="eastAsia"/>
          <w:color w:val="auto"/>
          <w:sz w:val="24"/>
        </w:rPr>
        <w:t>支持语音接入功能</w:t>
      </w:r>
    </w:p>
    <w:p w14:paraId="51D370A1">
      <w:pPr>
        <w:keepLines w:val="0"/>
        <w:pageBreakBefore w:val="0"/>
        <w:widowControl w:val="0"/>
        <w:kinsoku/>
        <w:wordWrap/>
        <w:overflowPunct/>
        <w:bidi w:val="0"/>
        <w:ind w:firstLine="448" w:firstLineChars="200"/>
        <w:jc w:val="left"/>
        <w:rPr>
          <w:color w:val="auto"/>
          <w:sz w:val="24"/>
        </w:rPr>
      </w:pPr>
      <w:r>
        <w:rPr>
          <w:rFonts w:hint="eastAsia"/>
          <w:color w:val="auto"/>
          <w:sz w:val="24"/>
        </w:rPr>
        <w:t>应能将固网和移动网的呼叫接入到语音接入系统。</w:t>
      </w:r>
    </w:p>
    <w:p w14:paraId="79D07132">
      <w:pPr>
        <w:keepLines w:val="0"/>
        <w:pageBreakBefore w:val="0"/>
        <w:widowControl w:val="0"/>
        <w:kinsoku/>
        <w:wordWrap/>
        <w:overflowPunct/>
        <w:bidi w:val="0"/>
        <w:ind w:firstLine="448" w:firstLineChars="200"/>
        <w:jc w:val="left"/>
        <w:rPr>
          <w:color w:val="auto"/>
          <w:sz w:val="24"/>
        </w:rPr>
      </w:pPr>
      <w:r>
        <w:rPr>
          <w:rFonts w:hint="eastAsia"/>
          <w:color w:val="auto"/>
          <w:sz w:val="24"/>
        </w:rPr>
        <w:t>呼叫接入过程无明显时延，呼叫接通后，IVR可以正常放音，声音清晰（丢包率小于5%），应能正确接收和转发主被叫号码。</w:t>
      </w:r>
    </w:p>
    <w:p w14:paraId="7653C0F7">
      <w:pPr>
        <w:keepLines w:val="0"/>
        <w:pageBreakBefore w:val="0"/>
        <w:widowControl w:val="0"/>
        <w:kinsoku/>
        <w:wordWrap/>
        <w:overflowPunct/>
        <w:bidi w:val="0"/>
        <w:ind w:firstLine="448" w:firstLineChars="200"/>
        <w:jc w:val="left"/>
        <w:rPr>
          <w:color w:val="auto"/>
          <w:sz w:val="24"/>
        </w:rPr>
      </w:pPr>
      <w:r>
        <w:rPr>
          <w:rFonts w:hint="eastAsia"/>
          <w:color w:val="auto"/>
          <w:sz w:val="24"/>
        </w:rPr>
        <w:t>应支持号码分析、号码变换（包括主、被叫号码在任意位置的增、删、改）、呼叫控制、过负荷控制等基本功能。</w:t>
      </w:r>
    </w:p>
    <w:p w14:paraId="66BEC82A">
      <w:pPr>
        <w:keepLines w:val="0"/>
        <w:pageBreakBefore w:val="0"/>
        <w:widowControl w:val="0"/>
        <w:kinsoku/>
        <w:wordWrap/>
        <w:overflowPunct/>
        <w:bidi w:val="0"/>
        <w:ind w:firstLine="448" w:firstLineChars="200"/>
        <w:jc w:val="left"/>
        <w:rPr>
          <w:color w:val="auto"/>
          <w:sz w:val="24"/>
        </w:rPr>
      </w:pPr>
      <w:r>
        <w:rPr>
          <w:rFonts w:hint="eastAsia"/>
          <w:color w:val="auto"/>
          <w:sz w:val="24"/>
        </w:rPr>
        <w:t>会场功能</w:t>
      </w:r>
    </w:p>
    <w:p w14:paraId="1BFC8590">
      <w:pPr>
        <w:keepLines w:val="0"/>
        <w:pageBreakBefore w:val="0"/>
        <w:widowControl w:val="0"/>
        <w:kinsoku/>
        <w:wordWrap/>
        <w:overflowPunct/>
        <w:bidi w:val="0"/>
        <w:ind w:firstLine="448" w:firstLineChars="200"/>
        <w:jc w:val="left"/>
        <w:rPr>
          <w:color w:val="auto"/>
          <w:sz w:val="24"/>
        </w:rPr>
      </w:pPr>
      <w:r>
        <w:rPr>
          <w:rFonts w:hint="eastAsia"/>
          <w:color w:val="auto"/>
          <w:sz w:val="24"/>
        </w:rPr>
        <w:t>应提供会场功能以实现三方通话、插入等功能。</w:t>
      </w:r>
    </w:p>
    <w:p w14:paraId="09636DB9">
      <w:pPr>
        <w:keepLines w:val="0"/>
        <w:pageBreakBefore w:val="0"/>
        <w:widowControl w:val="0"/>
        <w:kinsoku/>
        <w:wordWrap/>
        <w:overflowPunct/>
        <w:bidi w:val="0"/>
        <w:ind w:firstLine="448" w:firstLineChars="200"/>
        <w:jc w:val="left"/>
        <w:rPr>
          <w:color w:val="auto"/>
          <w:sz w:val="24"/>
        </w:rPr>
      </w:pPr>
      <w:r>
        <w:rPr>
          <w:rFonts w:hint="eastAsia"/>
          <w:color w:val="auto"/>
          <w:sz w:val="24"/>
        </w:rPr>
        <w:t>应为呼叫接续提供各种资源，并对这些资源进行集中的管理。如管理资源的分配、释放和控制，资源状态的检测，资源使用情况的统计，设置资源的使用门限等。</w:t>
      </w:r>
    </w:p>
    <w:p w14:paraId="0667612F">
      <w:pPr>
        <w:keepLines w:val="0"/>
        <w:pageBreakBefore w:val="0"/>
        <w:widowControl w:val="0"/>
        <w:kinsoku/>
        <w:wordWrap/>
        <w:overflowPunct/>
        <w:bidi w:val="0"/>
        <w:ind w:firstLine="448" w:firstLineChars="200"/>
        <w:jc w:val="left"/>
        <w:rPr>
          <w:color w:val="auto"/>
          <w:sz w:val="24"/>
        </w:rPr>
      </w:pPr>
      <w:r>
        <w:rPr>
          <w:rFonts w:hint="eastAsia"/>
          <w:color w:val="auto"/>
          <w:sz w:val="24"/>
        </w:rPr>
        <w:t>回声抑制</w:t>
      </w:r>
    </w:p>
    <w:p w14:paraId="53E2BA07">
      <w:pPr>
        <w:keepLines w:val="0"/>
        <w:pageBreakBefore w:val="0"/>
        <w:widowControl w:val="0"/>
        <w:kinsoku/>
        <w:wordWrap/>
        <w:overflowPunct/>
        <w:bidi w:val="0"/>
        <w:ind w:firstLine="448" w:firstLineChars="200"/>
        <w:jc w:val="left"/>
        <w:rPr>
          <w:color w:val="auto"/>
          <w:sz w:val="24"/>
        </w:rPr>
      </w:pPr>
      <w:r>
        <w:rPr>
          <w:rFonts w:hint="eastAsia"/>
          <w:color w:val="auto"/>
          <w:sz w:val="24"/>
        </w:rPr>
        <w:t>平台需要具备回声抑制能力，支持总是抑制，总是不抑制，按需抑制，按必要抑制的能力。</w:t>
      </w:r>
    </w:p>
    <w:p w14:paraId="2B0E6D7E">
      <w:pPr>
        <w:keepLines w:val="0"/>
        <w:pageBreakBefore w:val="0"/>
        <w:widowControl w:val="0"/>
        <w:kinsoku/>
        <w:wordWrap/>
        <w:overflowPunct/>
        <w:bidi w:val="0"/>
        <w:ind w:firstLine="448" w:firstLineChars="200"/>
        <w:jc w:val="left"/>
        <w:rPr>
          <w:color w:val="auto"/>
          <w:sz w:val="24"/>
        </w:rPr>
      </w:pPr>
      <w:r>
        <w:rPr>
          <w:rFonts w:hint="eastAsia"/>
          <w:color w:val="auto"/>
          <w:sz w:val="24"/>
        </w:rPr>
        <w:t>★呼叫接入流控</w:t>
      </w:r>
    </w:p>
    <w:p w14:paraId="2C246370">
      <w:pPr>
        <w:keepLines w:val="0"/>
        <w:pageBreakBefore w:val="0"/>
        <w:widowControl w:val="0"/>
        <w:kinsoku/>
        <w:wordWrap/>
        <w:overflowPunct/>
        <w:bidi w:val="0"/>
        <w:ind w:firstLine="448" w:firstLineChars="200"/>
        <w:jc w:val="left"/>
        <w:rPr>
          <w:color w:val="auto"/>
          <w:sz w:val="24"/>
        </w:rPr>
      </w:pPr>
      <w:r>
        <w:rPr>
          <w:rFonts w:hint="eastAsia"/>
          <w:color w:val="auto"/>
          <w:sz w:val="24"/>
        </w:rPr>
        <w:t>提供流控配置相关的命令。用户可以设置流控类型及流控规则，查询流控参数配置，可根据接入码、CAPS进行流控。</w:t>
      </w:r>
    </w:p>
    <w:p w14:paraId="3C8062F2">
      <w:pPr>
        <w:keepLines w:val="0"/>
        <w:pageBreakBefore w:val="0"/>
        <w:widowControl w:val="0"/>
        <w:kinsoku/>
        <w:wordWrap/>
        <w:overflowPunct/>
        <w:bidi w:val="0"/>
        <w:ind w:firstLine="448" w:firstLineChars="200"/>
        <w:jc w:val="left"/>
        <w:rPr>
          <w:color w:val="auto"/>
          <w:sz w:val="24"/>
        </w:rPr>
      </w:pPr>
      <w:r>
        <w:rPr>
          <w:rFonts w:hint="eastAsia"/>
          <w:color w:val="auto"/>
          <w:sz w:val="24"/>
        </w:rPr>
        <w:t>平台能力对外对接接口服务</w:t>
      </w:r>
    </w:p>
    <w:p w14:paraId="24763501">
      <w:pPr>
        <w:keepLines w:val="0"/>
        <w:pageBreakBefore w:val="0"/>
        <w:widowControl w:val="0"/>
        <w:kinsoku/>
        <w:wordWrap/>
        <w:overflowPunct/>
        <w:bidi w:val="0"/>
        <w:ind w:firstLine="448" w:firstLineChars="200"/>
        <w:jc w:val="left"/>
        <w:rPr>
          <w:color w:val="auto"/>
          <w:sz w:val="24"/>
        </w:rPr>
      </w:pPr>
      <w:r>
        <w:rPr>
          <w:rFonts w:hint="eastAsia"/>
          <w:color w:val="auto"/>
          <w:sz w:val="24"/>
        </w:rPr>
        <w:t>支持基于REST风格的Web Service接口，供业务封装使用，支持对外提供二次开发人员对座席业务功能进行开发。</w:t>
      </w:r>
    </w:p>
    <w:p w14:paraId="729A6367">
      <w:pPr>
        <w:keepLines w:val="0"/>
        <w:pageBreakBefore w:val="0"/>
        <w:widowControl w:val="0"/>
        <w:kinsoku/>
        <w:wordWrap/>
        <w:overflowPunct/>
        <w:bidi w:val="0"/>
        <w:ind w:firstLine="448" w:firstLineChars="200"/>
        <w:jc w:val="left"/>
        <w:rPr>
          <w:color w:val="auto"/>
          <w:sz w:val="24"/>
        </w:rPr>
      </w:pPr>
      <w:r>
        <w:rPr>
          <w:rFonts w:hint="eastAsia"/>
          <w:color w:val="auto"/>
          <w:sz w:val="24"/>
        </w:rPr>
        <w:t>统一业务接口采用服务端对服务端的对接模式</w:t>
      </w:r>
    </w:p>
    <w:p w14:paraId="5AF81357">
      <w:pPr>
        <w:keepLines w:val="0"/>
        <w:pageBreakBefore w:val="0"/>
        <w:widowControl w:val="0"/>
        <w:kinsoku/>
        <w:wordWrap/>
        <w:overflowPunct/>
        <w:bidi w:val="0"/>
        <w:ind w:firstLine="448" w:firstLineChars="200"/>
        <w:jc w:val="left"/>
        <w:rPr>
          <w:color w:val="auto"/>
          <w:sz w:val="24"/>
        </w:rPr>
      </w:pPr>
      <w:r>
        <w:rPr>
          <w:rFonts w:hint="eastAsia"/>
          <w:color w:val="auto"/>
          <w:sz w:val="24"/>
        </w:rPr>
        <w:t>需支持相关接口要求如下：</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71"/>
      </w:tblGrid>
      <w:tr w14:paraId="74CF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06" w:type="pct"/>
            <w:shd w:val="clear" w:color="auto" w:fill="auto"/>
            <w:vAlign w:val="center"/>
          </w:tcPr>
          <w:p w14:paraId="58F4C31E">
            <w:pPr>
              <w:keepLines w:val="0"/>
              <w:pageBreakBefore w:val="0"/>
              <w:widowControl w:val="0"/>
              <w:kinsoku/>
              <w:wordWrap/>
              <w:overflowPunct/>
              <w:bidi w:val="0"/>
              <w:adjustRightInd w:val="0"/>
              <w:snapToGrid w:val="0"/>
              <w:jc w:val="center"/>
              <w:rPr>
                <w:rFonts w:ascii="宋体" w:hAnsi="宋体" w:cs="宋体"/>
                <w:b/>
                <w:bCs/>
                <w:color w:val="auto"/>
                <w:kern w:val="0"/>
                <w:sz w:val="24"/>
                <w:szCs w:val="24"/>
              </w:rPr>
            </w:pPr>
            <w:r>
              <w:rPr>
                <w:rFonts w:hint="eastAsia" w:ascii="宋体" w:hAnsi="宋体" w:cs="宋体"/>
                <w:b/>
                <w:bCs/>
                <w:color w:val="auto"/>
                <w:kern w:val="0"/>
                <w:sz w:val="24"/>
                <w:szCs w:val="24"/>
              </w:rPr>
              <w:t>接口类型</w:t>
            </w:r>
          </w:p>
        </w:tc>
        <w:tc>
          <w:tcPr>
            <w:tcW w:w="3794" w:type="pct"/>
            <w:shd w:val="clear" w:color="auto" w:fill="auto"/>
            <w:vAlign w:val="center"/>
          </w:tcPr>
          <w:p w14:paraId="676EC92B">
            <w:pPr>
              <w:keepLines w:val="0"/>
              <w:pageBreakBefore w:val="0"/>
              <w:widowControl w:val="0"/>
              <w:kinsoku/>
              <w:wordWrap/>
              <w:overflowPunct/>
              <w:bidi w:val="0"/>
              <w:adjustRightInd w:val="0"/>
              <w:snapToGrid w:val="0"/>
              <w:jc w:val="center"/>
              <w:rPr>
                <w:rFonts w:ascii="宋体" w:hAnsi="宋体" w:cs="宋体"/>
                <w:b/>
                <w:bCs/>
                <w:color w:val="auto"/>
                <w:kern w:val="0"/>
                <w:sz w:val="24"/>
                <w:szCs w:val="24"/>
              </w:rPr>
            </w:pPr>
            <w:r>
              <w:rPr>
                <w:rFonts w:hint="eastAsia" w:ascii="宋体" w:hAnsi="宋体" w:cs="宋体"/>
                <w:b/>
                <w:bCs/>
                <w:color w:val="auto"/>
                <w:kern w:val="0"/>
                <w:sz w:val="24"/>
                <w:szCs w:val="24"/>
              </w:rPr>
              <w:t>接口</w:t>
            </w:r>
          </w:p>
        </w:tc>
      </w:tr>
      <w:tr w14:paraId="0EEF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4A1D406E">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在线座席</w:t>
            </w:r>
          </w:p>
        </w:tc>
        <w:tc>
          <w:tcPr>
            <w:tcW w:w="3794" w:type="pct"/>
            <w:shd w:val="clear" w:color="auto" w:fill="auto"/>
            <w:vAlign w:val="center"/>
          </w:tcPr>
          <w:p w14:paraId="1FFFE49B">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签入</w:t>
            </w:r>
          </w:p>
        </w:tc>
      </w:tr>
      <w:tr w14:paraId="011C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C446090">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B24BF6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强制签入</w:t>
            </w:r>
          </w:p>
        </w:tc>
      </w:tr>
      <w:tr w14:paraId="0622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9C1EFB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C3C120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查询配置技能队列</w:t>
            </w:r>
          </w:p>
        </w:tc>
      </w:tr>
      <w:tr w14:paraId="3667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457B328">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ADC949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查询指定座席配置技能队列</w:t>
            </w:r>
          </w:p>
        </w:tc>
      </w:tr>
      <w:tr w14:paraId="4D28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EE1E86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62F00BF6">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设置是否自应答</w:t>
            </w:r>
          </w:p>
        </w:tc>
      </w:tr>
      <w:tr w14:paraId="4104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40C99C4C">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39FE8B8">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重置技能队列</w:t>
            </w:r>
          </w:p>
        </w:tc>
      </w:tr>
      <w:tr w14:paraId="1A22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C255A42">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FCBE122">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示闲</w:t>
            </w:r>
          </w:p>
        </w:tc>
      </w:tr>
      <w:tr w14:paraId="4AF4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94DF5B2">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4A4C10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示忙</w:t>
            </w:r>
          </w:p>
        </w:tc>
      </w:tr>
      <w:tr w14:paraId="6316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21957F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7D9072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取消示忙</w:t>
            </w:r>
          </w:p>
        </w:tc>
      </w:tr>
      <w:tr w14:paraId="3062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404A2A80">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43E4B4A">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请求休息</w:t>
            </w:r>
          </w:p>
        </w:tc>
      </w:tr>
      <w:tr w14:paraId="7BE8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0CE12050">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5B44642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取消休息</w:t>
            </w:r>
          </w:p>
        </w:tc>
      </w:tr>
      <w:tr w14:paraId="4F90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F257B27">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0FA2A820">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进入工作态</w:t>
            </w:r>
          </w:p>
        </w:tc>
      </w:tr>
      <w:tr w14:paraId="0CA9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9412F57">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3612890">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退出工作态</w:t>
            </w:r>
          </w:p>
        </w:tc>
      </w:tr>
      <w:tr w14:paraId="4C81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D81D7BF">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208622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修改密码</w:t>
            </w:r>
          </w:p>
        </w:tc>
      </w:tr>
      <w:tr w14:paraId="2B8F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37C33C6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59697EE2">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设置是否进入空闲态</w:t>
            </w:r>
          </w:p>
        </w:tc>
      </w:tr>
      <w:tr w14:paraId="3A3F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7C59EB3">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B31990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签出</w:t>
            </w:r>
          </w:p>
        </w:tc>
      </w:tr>
      <w:tr w14:paraId="522F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095C63B">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3F10388">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强制签出</w:t>
            </w:r>
          </w:p>
        </w:tc>
      </w:tr>
      <w:tr w14:paraId="1C32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2F3055D">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69BD21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强制签出带原因码</w:t>
            </w:r>
          </w:p>
        </w:tc>
      </w:tr>
      <w:tr w14:paraId="562F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A7D5BEB">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78A73E3">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获取当前座席的状态</w:t>
            </w:r>
          </w:p>
        </w:tc>
      </w:tr>
      <w:tr w14:paraId="1E52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161EC3DF">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语音呼叫</w:t>
            </w:r>
          </w:p>
        </w:tc>
        <w:tc>
          <w:tcPr>
            <w:tcW w:w="3794" w:type="pct"/>
            <w:shd w:val="clear" w:color="auto" w:fill="auto"/>
            <w:vAlign w:val="center"/>
          </w:tcPr>
          <w:p w14:paraId="0E462F78">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外呼</w:t>
            </w:r>
          </w:p>
        </w:tc>
      </w:tr>
      <w:tr w14:paraId="600F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C64B4DD">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0EBC2072">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呼叫应答</w:t>
            </w:r>
          </w:p>
        </w:tc>
      </w:tr>
      <w:tr w14:paraId="035C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9D66CF8">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E268E4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内部呼叫</w:t>
            </w:r>
          </w:p>
        </w:tc>
      </w:tr>
      <w:tr w14:paraId="200C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0AD34FC2">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029918E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内部求助</w:t>
            </w:r>
          </w:p>
        </w:tc>
      </w:tr>
      <w:tr w14:paraId="3769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303700E">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331648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静音</w:t>
            </w:r>
          </w:p>
        </w:tc>
      </w:tr>
      <w:tr w14:paraId="17B8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013F2F73">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F8ABB8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取消静音</w:t>
            </w:r>
          </w:p>
        </w:tc>
      </w:tr>
      <w:tr w14:paraId="305A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69566C7">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F207600">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呼叫保持</w:t>
            </w:r>
          </w:p>
        </w:tc>
      </w:tr>
      <w:tr w14:paraId="7456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4E2C820">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902B96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取消保持</w:t>
            </w:r>
          </w:p>
        </w:tc>
      </w:tr>
      <w:tr w14:paraId="6C9E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80F461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0929E11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呼叫转移</w:t>
            </w:r>
          </w:p>
        </w:tc>
      </w:tr>
      <w:tr w14:paraId="2297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3E822EE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E3DC07E">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二次拨号</w:t>
            </w:r>
            <w:r>
              <w:rPr>
                <w:color w:val="auto"/>
                <w:kern w:val="0"/>
                <w:sz w:val="24"/>
                <w:szCs w:val="24"/>
              </w:rPr>
              <w:t>(</w:t>
            </w:r>
            <w:r>
              <w:rPr>
                <w:rFonts w:hint="eastAsia" w:ascii="宋体" w:hAnsi="宋体" w:cs="宋体"/>
                <w:color w:val="auto"/>
                <w:kern w:val="0"/>
                <w:sz w:val="24"/>
                <w:szCs w:val="24"/>
              </w:rPr>
              <w:t>扩展</w:t>
            </w:r>
            <w:r>
              <w:rPr>
                <w:color w:val="auto"/>
                <w:kern w:val="0"/>
                <w:sz w:val="24"/>
                <w:szCs w:val="24"/>
              </w:rPr>
              <w:t>)</w:t>
            </w:r>
          </w:p>
        </w:tc>
      </w:tr>
      <w:tr w14:paraId="14B5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C1936B3">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4CBD97B">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三方通话</w:t>
            </w:r>
          </w:p>
        </w:tc>
      </w:tr>
      <w:tr w14:paraId="4336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F072EF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6E1B55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拆除指定</w:t>
            </w:r>
            <w:r>
              <w:rPr>
                <w:color w:val="auto"/>
                <w:kern w:val="0"/>
                <w:sz w:val="24"/>
                <w:szCs w:val="24"/>
              </w:rPr>
              <w:t>callid</w:t>
            </w:r>
            <w:r>
              <w:rPr>
                <w:rFonts w:hint="eastAsia" w:ascii="宋体" w:hAnsi="宋体" w:cs="宋体"/>
                <w:color w:val="auto"/>
                <w:kern w:val="0"/>
                <w:sz w:val="24"/>
                <w:szCs w:val="24"/>
              </w:rPr>
              <w:t>呼叫</w:t>
            </w:r>
          </w:p>
        </w:tc>
      </w:tr>
      <w:tr w14:paraId="5A70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757F18F">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06A698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挂断呼叫</w:t>
            </w:r>
          </w:p>
        </w:tc>
      </w:tr>
      <w:tr w14:paraId="05DD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9B5D5F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FE76ADC">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释放指定号码连接</w:t>
            </w:r>
          </w:p>
        </w:tc>
      </w:tr>
      <w:tr w14:paraId="6665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73E68A1C">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录音回放</w:t>
            </w:r>
          </w:p>
        </w:tc>
        <w:tc>
          <w:tcPr>
            <w:tcW w:w="3794" w:type="pct"/>
            <w:shd w:val="clear" w:color="auto" w:fill="auto"/>
            <w:vAlign w:val="center"/>
          </w:tcPr>
          <w:p w14:paraId="0AB27ADA">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开始放音</w:t>
            </w:r>
          </w:p>
        </w:tc>
      </w:tr>
      <w:tr w14:paraId="114D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4CB9758">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5E1A5B15">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暂停放音</w:t>
            </w:r>
          </w:p>
        </w:tc>
      </w:tr>
      <w:tr w14:paraId="2F85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9AA358A">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F31FA0F">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恢复放音</w:t>
            </w:r>
          </w:p>
        </w:tc>
      </w:tr>
      <w:tr w14:paraId="144F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44CAE33">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598744A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放音快进</w:t>
            </w:r>
          </w:p>
        </w:tc>
      </w:tr>
      <w:tr w14:paraId="6202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D33A7BF">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67D8A18E">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放音快退</w:t>
            </w:r>
          </w:p>
        </w:tc>
      </w:tr>
      <w:tr w14:paraId="1DB7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FEA598E">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ED16881">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停止放音</w:t>
            </w:r>
          </w:p>
        </w:tc>
      </w:tr>
      <w:tr w14:paraId="7C01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1CAF1AFA">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队列设备</w:t>
            </w:r>
          </w:p>
        </w:tc>
        <w:tc>
          <w:tcPr>
            <w:tcW w:w="3794" w:type="pct"/>
            <w:shd w:val="clear" w:color="auto" w:fill="auto"/>
            <w:vAlign w:val="center"/>
          </w:tcPr>
          <w:p w14:paraId="33FD6EA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获取所配置技能队列排队总人数</w:t>
            </w:r>
          </w:p>
        </w:tc>
      </w:tr>
      <w:tr w14:paraId="303B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C04502F">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09002E1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获取已签入技能队列排队人数</w:t>
            </w:r>
          </w:p>
        </w:tc>
      </w:tr>
      <w:tr w14:paraId="12A6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78F303C">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6E3AB99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获取座席所在</w:t>
            </w:r>
            <w:r>
              <w:rPr>
                <w:color w:val="auto"/>
                <w:kern w:val="0"/>
                <w:sz w:val="24"/>
                <w:szCs w:val="24"/>
              </w:rPr>
              <w:t>VDN</w:t>
            </w:r>
            <w:r>
              <w:rPr>
                <w:rFonts w:hint="eastAsia" w:ascii="宋体" w:hAnsi="宋体" w:cs="宋体"/>
                <w:color w:val="auto"/>
                <w:kern w:val="0"/>
                <w:sz w:val="24"/>
                <w:szCs w:val="24"/>
              </w:rPr>
              <w:t>技能队列信息</w:t>
            </w:r>
          </w:p>
        </w:tc>
      </w:tr>
      <w:tr w14:paraId="76CF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4164AF68">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EF68183">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获取指定技能队列排队总人数</w:t>
            </w:r>
          </w:p>
        </w:tc>
      </w:tr>
      <w:tr w14:paraId="24AC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28F00CB">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5059BD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查询一组技能队列统计信息</w:t>
            </w:r>
          </w:p>
        </w:tc>
      </w:tr>
      <w:tr w14:paraId="50AC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5289B6E7">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座席班组</w:t>
            </w:r>
          </w:p>
        </w:tc>
        <w:tc>
          <w:tcPr>
            <w:tcW w:w="3794" w:type="pct"/>
            <w:shd w:val="clear" w:color="auto" w:fill="auto"/>
            <w:vAlign w:val="center"/>
          </w:tcPr>
          <w:p w14:paraId="0A3DE865">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查询签入技能队列座席详细信息</w:t>
            </w:r>
          </w:p>
        </w:tc>
      </w:tr>
      <w:tr w14:paraId="459F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86148EC">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C6DED8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查询指定座席详细座席信息</w:t>
            </w:r>
          </w:p>
        </w:tc>
      </w:tr>
      <w:tr w14:paraId="525E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6066CC11">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呼叫数据</w:t>
            </w:r>
          </w:p>
        </w:tc>
        <w:tc>
          <w:tcPr>
            <w:tcW w:w="3794" w:type="pct"/>
            <w:shd w:val="clear" w:color="auto" w:fill="auto"/>
            <w:vAlign w:val="center"/>
          </w:tcPr>
          <w:p w14:paraId="1DF3480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设置呼叫随路数据</w:t>
            </w:r>
          </w:p>
        </w:tc>
      </w:tr>
      <w:tr w14:paraId="5142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1F20C36">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BAFF2AD">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查询呼叫随路数据</w:t>
            </w:r>
          </w:p>
        </w:tc>
      </w:tr>
      <w:tr w14:paraId="24B8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934DAB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A230B5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查询保持列表</w:t>
            </w:r>
          </w:p>
        </w:tc>
      </w:tr>
      <w:tr w14:paraId="5B41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034BFCAA">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30A40FE">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查询应答来话前呼叫信息</w:t>
            </w:r>
          </w:p>
        </w:tc>
      </w:tr>
      <w:tr w14:paraId="7021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0BBC33E">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8F4445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根据呼叫</w:t>
            </w:r>
            <w:r>
              <w:rPr>
                <w:color w:val="auto"/>
                <w:kern w:val="0"/>
                <w:sz w:val="24"/>
                <w:szCs w:val="24"/>
              </w:rPr>
              <w:t>CallID</w:t>
            </w:r>
            <w:r>
              <w:rPr>
                <w:rFonts w:hint="eastAsia" w:ascii="宋体" w:hAnsi="宋体" w:cs="宋体"/>
                <w:color w:val="auto"/>
                <w:kern w:val="0"/>
                <w:sz w:val="24"/>
                <w:szCs w:val="24"/>
              </w:rPr>
              <w:t>查询呼叫信息</w:t>
            </w:r>
          </w:p>
        </w:tc>
      </w:tr>
      <w:tr w14:paraId="5E63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2E1FD4E0">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3531FFE">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查询指定座席呼叫</w:t>
            </w:r>
            <w:r>
              <w:rPr>
                <w:color w:val="auto"/>
                <w:kern w:val="0"/>
                <w:sz w:val="24"/>
                <w:szCs w:val="24"/>
              </w:rPr>
              <w:t>ID</w:t>
            </w:r>
          </w:p>
        </w:tc>
      </w:tr>
      <w:tr w14:paraId="5096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AF206F2">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6A1B7423">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查询座席当前的话路数</w:t>
            </w:r>
          </w:p>
        </w:tc>
      </w:tr>
      <w:tr w14:paraId="1E67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6CD9427">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0F9F4B2">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查询座席当前呼叫统计信息</w:t>
            </w:r>
          </w:p>
        </w:tc>
      </w:tr>
      <w:tr w14:paraId="335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restart"/>
            <w:shd w:val="clear" w:color="auto" w:fill="auto"/>
            <w:vAlign w:val="center"/>
          </w:tcPr>
          <w:p w14:paraId="49EB8183">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实时质检</w:t>
            </w:r>
          </w:p>
        </w:tc>
        <w:tc>
          <w:tcPr>
            <w:tcW w:w="3794" w:type="pct"/>
            <w:shd w:val="clear" w:color="auto" w:fill="auto"/>
            <w:vAlign w:val="center"/>
          </w:tcPr>
          <w:p w14:paraId="056C8421">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插入</w:t>
            </w:r>
          </w:p>
        </w:tc>
      </w:tr>
      <w:tr w14:paraId="1416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83591C8">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26F259E3">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侦听</w:t>
            </w:r>
          </w:p>
        </w:tc>
      </w:tr>
      <w:tr w14:paraId="21C3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3F5D3FA5">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0A301C7">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拦截</w:t>
            </w:r>
          </w:p>
        </w:tc>
      </w:tr>
      <w:tr w14:paraId="0C16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7702379">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4299E08F">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取消侦听和插入</w:t>
            </w:r>
          </w:p>
        </w:tc>
      </w:tr>
      <w:tr w14:paraId="7E3A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15393B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7F1CEDE4">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强制示忙</w:t>
            </w:r>
          </w:p>
        </w:tc>
      </w:tr>
      <w:tr w14:paraId="26B8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30DD2CBA">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15AF86A0">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强制示闲</w:t>
            </w:r>
          </w:p>
        </w:tc>
      </w:tr>
      <w:tr w14:paraId="3E9D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599BED59">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FC153FA">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强制签出</w:t>
            </w:r>
          </w:p>
        </w:tc>
      </w:tr>
      <w:tr w14:paraId="0346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7BEF1E82">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691D9C91">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强制拆除通话</w:t>
            </w:r>
          </w:p>
        </w:tc>
      </w:tr>
      <w:tr w14:paraId="7992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652053B9">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8AA5899">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调整指定座席的技能队列</w:t>
            </w:r>
          </w:p>
        </w:tc>
      </w:tr>
      <w:tr w14:paraId="63F4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062FE8BF">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3A6B4B35">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切换侦听和插入</w:t>
            </w:r>
          </w:p>
        </w:tc>
      </w:tr>
      <w:tr w14:paraId="22A3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vMerge w:val="continue"/>
            <w:vAlign w:val="center"/>
          </w:tcPr>
          <w:p w14:paraId="115FED61">
            <w:pPr>
              <w:keepLines w:val="0"/>
              <w:pageBreakBefore w:val="0"/>
              <w:widowControl w:val="0"/>
              <w:kinsoku/>
              <w:wordWrap/>
              <w:overflowPunct/>
              <w:bidi w:val="0"/>
              <w:adjustRightInd w:val="0"/>
              <w:snapToGrid w:val="0"/>
              <w:jc w:val="left"/>
              <w:rPr>
                <w:rFonts w:ascii="宋体" w:hAnsi="宋体" w:cs="宋体"/>
                <w:color w:val="auto"/>
                <w:kern w:val="0"/>
                <w:sz w:val="24"/>
                <w:szCs w:val="24"/>
              </w:rPr>
            </w:pPr>
          </w:p>
        </w:tc>
        <w:tc>
          <w:tcPr>
            <w:tcW w:w="3794" w:type="pct"/>
            <w:shd w:val="clear" w:color="auto" w:fill="auto"/>
            <w:vAlign w:val="center"/>
          </w:tcPr>
          <w:p w14:paraId="5DA91C16">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强制休息</w:t>
            </w:r>
          </w:p>
        </w:tc>
      </w:tr>
      <w:tr w14:paraId="775F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6" w:type="pct"/>
            <w:shd w:val="clear" w:color="auto" w:fill="auto"/>
            <w:vAlign w:val="center"/>
          </w:tcPr>
          <w:p w14:paraId="0B1FFADD">
            <w:pPr>
              <w:keepLines w:val="0"/>
              <w:pageBreakBefore w:val="0"/>
              <w:widowControl w:val="0"/>
              <w:kinsoku/>
              <w:wordWrap/>
              <w:overflowPunct/>
              <w:bidi w:val="0"/>
              <w:adjustRightInd w:val="0"/>
              <w:snapToGrid w:val="0"/>
              <w:jc w:val="center"/>
              <w:rPr>
                <w:rFonts w:ascii="宋体" w:hAnsi="宋体" w:cs="宋体"/>
                <w:color w:val="auto"/>
                <w:kern w:val="0"/>
                <w:sz w:val="24"/>
                <w:szCs w:val="24"/>
              </w:rPr>
            </w:pPr>
            <w:r>
              <w:rPr>
                <w:rFonts w:hint="eastAsia" w:ascii="宋体" w:hAnsi="宋体" w:cs="宋体"/>
                <w:color w:val="auto"/>
                <w:kern w:val="0"/>
                <w:sz w:val="24"/>
                <w:szCs w:val="24"/>
              </w:rPr>
              <w:t>座席事件</w:t>
            </w:r>
          </w:p>
        </w:tc>
        <w:tc>
          <w:tcPr>
            <w:tcW w:w="3794" w:type="pct"/>
            <w:shd w:val="clear" w:color="auto" w:fill="auto"/>
            <w:vAlign w:val="center"/>
          </w:tcPr>
          <w:p w14:paraId="321F95FA">
            <w:pPr>
              <w:keepLines w:val="0"/>
              <w:pageBreakBefore w:val="0"/>
              <w:widowControl w:val="0"/>
              <w:kinsoku/>
              <w:wordWrap/>
              <w:overflowPunct/>
              <w:bidi w:val="0"/>
              <w:adjustRightInd w:val="0"/>
              <w:snapToGrid w:val="0"/>
              <w:rPr>
                <w:rFonts w:ascii="宋体" w:hAnsi="宋体" w:cs="宋体"/>
                <w:color w:val="auto"/>
                <w:kern w:val="0"/>
                <w:sz w:val="24"/>
                <w:szCs w:val="24"/>
              </w:rPr>
            </w:pPr>
            <w:r>
              <w:rPr>
                <w:rFonts w:hint="eastAsia" w:ascii="宋体" w:hAnsi="宋体" w:cs="宋体"/>
                <w:color w:val="auto"/>
                <w:kern w:val="0"/>
                <w:sz w:val="24"/>
                <w:szCs w:val="24"/>
              </w:rPr>
              <w:t>获取座席事件接口</w:t>
            </w:r>
          </w:p>
        </w:tc>
      </w:tr>
    </w:tbl>
    <w:p w14:paraId="3AFD5118">
      <w:pPr>
        <w:keepLines w:val="0"/>
        <w:pageBreakBefore w:val="0"/>
        <w:widowControl w:val="0"/>
        <w:kinsoku/>
        <w:wordWrap/>
        <w:overflowPunct/>
        <w:bidi w:val="0"/>
        <w:ind w:firstLine="448" w:firstLineChars="200"/>
        <w:jc w:val="left"/>
        <w:outlineLvl w:val="3"/>
        <w:rPr>
          <w:color w:val="auto"/>
          <w:sz w:val="24"/>
        </w:rPr>
      </w:pPr>
      <w:r>
        <w:rPr>
          <w:rFonts w:hint="eastAsia"/>
          <w:color w:val="auto"/>
          <w:sz w:val="24"/>
        </w:rPr>
        <w:t>3、语音IVR</w:t>
      </w:r>
      <w:r>
        <w:rPr>
          <w:rFonts w:hint="eastAsia" w:ascii="宋体" w:hAnsi="宋体" w:cs="宋体"/>
          <w:color w:val="auto"/>
          <w:kern w:val="0"/>
          <w:sz w:val="24"/>
          <w:szCs w:val="24"/>
        </w:rPr>
        <w:t>服务</w:t>
      </w:r>
    </w:p>
    <w:p w14:paraId="5D2A24BD">
      <w:pPr>
        <w:keepLines w:val="0"/>
        <w:pageBreakBefore w:val="0"/>
        <w:widowControl w:val="0"/>
        <w:kinsoku/>
        <w:wordWrap/>
        <w:overflowPunct/>
        <w:bidi w:val="0"/>
        <w:ind w:firstLine="448" w:firstLineChars="200"/>
        <w:jc w:val="left"/>
        <w:rPr>
          <w:color w:val="auto"/>
          <w:sz w:val="24"/>
        </w:rPr>
      </w:pPr>
      <w:r>
        <w:rPr>
          <w:rFonts w:hint="eastAsia"/>
          <w:color w:val="auto"/>
          <w:sz w:val="24"/>
        </w:rPr>
        <w:t>放音功能</w:t>
      </w:r>
    </w:p>
    <w:p w14:paraId="182101FA">
      <w:pPr>
        <w:keepLines w:val="0"/>
        <w:pageBreakBefore w:val="0"/>
        <w:widowControl w:val="0"/>
        <w:kinsoku/>
        <w:wordWrap/>
        <w:overflowPunct/>
        <w:bidi w:val="0"/>
        <w:ind w:firstLine="448" w:firstLineChars="200"/>
        <w:jc w:val="left"/>
        <w:rPr>
          <w:color w:val="auto"/>
          <w:sz w:val="24"/>
        </w:rPr>
      </w:pPr>
      <w:r>
        <w:rPr>
          <w:rFonts w:hint="eastAsia"/>
          <w:color w:val="auto"/>
          <w:sz w:val="24"/>
        </w:rPr>
        <w:t>应提供放音功能，包括放欢迎词、排队等待、应答前语、等待结束、保持等语音。</w:t>
      </w:r>
    </w:p>
    <w:p w14:paraId="30E78C40">
      <w:pPr>
        <w:keepLines w:val="0"/>
        <w:pageBreakBefore w:val="0"/>
        <w:widowControl w:val="0"/>
        <w:kinsoku/>
        <w:wordWrap/>
        <w:overflowPunct/>
        <w:bidi w:val="0"/>
        <w:ind w:firstLine="448" w:firstLineChars="200"/>
        <w:jc w:val="left"/>
        <w:rPr>
          <w:color w:val="auto"/>
          <w:sz w:val="24"/>
        </w:rPr>
      </w:pPr>
      <w:r>
        <w:rPr>
          <w:rFonts w:hint="eastAsia"/>
          <w:color w:val="auto"/>
          <w:sz w:val="24"/>
        </w:rPr>
        <w:t>支持播放常用提示音、整数、字符串、价格、日期、时间、日期+时间、浮点数。</w:t>
      </w:r>
    </w:p>
    <w:p w14:paraId="6FB2A4D3">
      <w:pPr>
        <w:keepLines w:val="0"/>
        <w:pageBreakBefore w:val="0"/>
        <w:widowControl w:val="0"/>
        <w:kinsoku/>
        <w:wordWrap/>
        <w:overflowPunct/>
        <w:bidi w:val="0"/>
        <w:ind w:firstLine="448" w:firstLineChars="200"/>
        <w:jc w:val="left"/>
        <w:rPr>
          <w:color w:val="auto"/>
          <w:sz w:val="24"/>
        </w:rPr>
      </w:pPr>
      <w:r>
        <w:rPr>
          <w:rFonts w:hint="eastAsia"/>
          <w:color w:val="auto"/>
          <w:sz w:val="24"/>
        </w:rPr>
        <w:t>多语言放音功能</w:t>
      </w:r>
    </w:p>
    <w:p w14:paraId="7B40D7D0">
      <w:pPr>
        <w:keepLines w:val="0"/>
        <w:pageBreakBefore w:val="0"/>
        <w:widowControl w:val="0"/>
        <w:kinsoku/>
        <w:wordWrap/>
        <w:overflowPunct/>
        <w:bidi w:val="0"/>
        <w:ind w:firstLine="448" w:firstLineChars="200"/>
        <w:jc w:val="left"/>
        <w:rPr>
          <w:color w:val="auto"/>
          <w:sz w:val="24"/>
        </w:rPr>
      </w:pPr>
      <w:r>
        <w:rPr>
          <w:rFonts w:hint="eastAsia"/>
          <w:color w:val="auto"/>
          <w:sz w:val="24"/>
        </w:rPr>
        <w:t>支持256个语种，能够同时播放8个语种的语音。根据业务需要，支持对语种进行定制。</w:t>
      </w:r>
    </w:p>
    <w:p w14:paraId="766CDEEB">
      <w:pPr>
        <w:keepLines w:val="0"/>
        <w:pageBreakBefore w:val="0"/>
        <w:widowControl w:val="0"/>
        <w:kinsoku/>
        <w:wordWrap/>
        <w:overflowPunct/>
        <w:bidi w:val="0"/>
        <w:ind w:firstLine="448" w:firstLineChars="200"/>
        <w:jc w:val="left"/>
        <w:rPr>
          <w:color w:val="auto"/>
          <w:sz w:val="24"/>
        </w:rPr>
      </w:pPr>
      <w:r>
        <w:rPr>
          <w:rFonts w:hint="eastAsia"/>
          <w:color w:val="auto"/>
          <w:sz w:val="24"/>
        </w:rPr>
        <w:t>收号功能</w:t>
      </w:r>
    </w:p>
    <w:p w14:paraId="04A3CEA3">
      <w:pPr>
        <w:keepLines w:val="0"/>
        <w:pageBreakBefore w:val="0"/>
        <w:widowControl w:val="0"/>
        <w:kinsoku/>
        <w:wordWrap/>
        <w:overflowPunct/>
        <w:bidi w:val="0"/>
        <w:ind w:firstLine="448" w:firstLineChars="200"/>
        <w:jc w:val="left"/>
        <w:rPr>
          <w:color w:val="auto"/>
          <w:sz w:val="24"/>
        </w:rPr>
      </w:pPr>
      <w:r>
        <w:rPr>
          <w:rFonts w:hint="eastAsia"/>
          <w:color w:val="auto"/>
          <w:sz w:val="24"/>
        </w:rPr>
        <w:t>支持DTMF（双音多频）收号功能，可收单位号和多位号，具有首号上报、单号上报、首号超时检测、号间超时检测等功能。</w:t>
      </w:r>
    </w:p>
    <w:p w14:paraId="394473E4">
      <w:pPr>
        <w:keepLines w:val="0"/>
        <w:pageBreakBefore w:val="0"/>
        <w:widowControl w:val="0"/>
        <w:kinsoku/>
        <w:wordWrap/>
        <w:overflowPunct/>
        <w:bidi w:val="0"/>
        <w:ind w:firstLine="448" w:firstLineChars="200"/>
        <w:jc w:val="left"/>
        <w:rPr>
          <w:color w:val="auto"/>
          <w:sz w:val="24"/>
        </w:rPr>
      </w:pPr>
      <w:r>
        <w:rPr>
          <w:rFonts w:hint="eastAsia"/>
          <w:color w:val="auto"/>
          <w:sz w:val="24"/>
        </w:rPr>
        <w:t>支持宽带DTMF（双音多频）信号音的接收和发送，可以从RTP语音净荷中监测DTMF（双音多频）信号。</w:t>
      </w:r>
    </w:p>
    <w:p w14:paraId="2D5B2987">
      <w:pPr>
        <w:keepLines w:val="0"/>
        <w:pageBreakBefore w:val="0"/>
        <w:widowControl w:val="0"/>
        <w:kinsoku/>
        <w:wordWrap/>
        <w:overflowPunct/>
        <w:bidi w:val="0"/>
        <w:ind w:firstLine="448" w:firstLineChars="200"/>
        <w:jc w:val="left"/>
        <w:rPr>
          <w:color w:val="auto"/>
          <w:sz w:val="24"/>
        </w:rPr>
      </w:pPr>
      <w:r>
        <w:rPr>
          <w:rFonts w:hint="eastAsia"/>
          <w:color w:val="auto"/>
          <w:sz w:val="24"/>
        </w:rPr>
        <w:t>号码变换功能</w:t>
      </w:r>
    </w:p>
    <w:p w14:paraId="0A89381D">
      <w:pPr>
        <w:keepLines w:val="0"/>
        <w:pageBreakBefore w:val="0"/>
        <w:widowControl w:val="0"/>
        <w:kinsoku/>
        <w:wordWrap/>
        <w:overflowPunct/>
        <w:bidi w:val="0"/>
        <w:ind w:firstLine="448" w:firstLineChars="200"/>
        <w:jc w:val="left"/>
        <w:rPr>
          <w:color w:val="auto"/>
          <w:sz w:val="24"/>
        </w:rPr>
      </w:pPr>
      <w:r>
        <w:rPr>
          <w:rFonts w:hint="eastAsia"/>
          <w:color w:val="auto"/>
          <w:sz w:val="24"/>
        </w:rPr>
        <w:t>外呼时，系统可依据H码表判断外呼号码的归属地，将话务送至对应的局向。</w:t>
      </w:r>
    </w:p>
    <w:p w14:paraId="48C7BC44">
      <w:pPr>
        <w:keepLines w:val="0"/>
        <w:pageBreakBefore w:val="0"/>
        <w:widowControl w:val="0"/>
        <w:kinsoku/>
        <w:wordWrap/>
        <w:overflowPunct/>
        <w:bidi w:val="0"/>
        <w:ind w:firstLine="448" w:firstLineChars="200"/>
        <w:jc w:val="left"/>
        <w:rPr>
          <w:color w:val="auto"/>
          <w:sz w:val="24"/>
        </w:rPr>
      </w:pPr>
      <w:r>
        <w:rPr>
          <w:rFonts w:hint="eastAsia"/>
          <w:color w:val="auto"/>
          <w:sz w:val="24"/>
        </w:rPr>
        <w:t>为便于系统内部处理、号码解析，可按特定规则对主、被叫号码进行变换，支持前插、后插号码，修改、删除号码。</w:t>
      </w:r>
    </w:p>
    <w:p w14:paraId="2280E162">
      <w:pPr>
        <w:keepLines w:val="0"/>
        <w:pageBreakBefore w:val="0"/>
        <w:widowControl w:val="0"/>
        <w:kinsoku/>
        <w:wordWrap/>
        <w:overflowPunct/>
        <w:bidi w:val="0"/>
        <w:ind w:firstLine="448" w:firstLineChars="200"/>
        <w:jc w:val="left"/>
        <w:rPr>
          <w:color w:val="auto"/>
          <w:sz w:val="24"/>
        </w:rPr>
      </w:pPr>
      <w:r>
        <w:rPr>
          <w:rFonts w:hint="eastAsia"/>
          <w:color w:val="auto"/>
          <w:sz w:val="24"/>
        </w:rPr>
        <w:t>号码变换规则，可由管理员进行配置、修改。</w:t>
      </w:r>
    </w:p>
    <w:p w14:paraId="5A433436">
      <w:pPr>
        <w:keepLines w:val="0"/>
        <w:pageBreakBefore w:val="0"/>
        <w:widowControl w:val="0"/>
        <w:kinsoku/>
        <w:wordWrap/>
        <w:overflowPunct/>
        <w:bidi w:val="0"/>
        <w:ind w:firstLine="448" w:firstLineChars="200"/>
        <w:jc w:val="left"/>
        <w:rPr>
          <w:color w:val="auto"/>
          <w:sz w:val="24"/>
        </w:rPr>
      </w:pPr>
      <w:r>
        <w:rPr>
          <w:rFonts w:hint="eastAsia"/>
          <w:color w:val="auto"/>
          <w:sz w:val="24"/>
        </w:rPr>
        <w:t>IVR第三方接口访问服务</w:t>
      </w:r>
    </w:p>
    <w:p w14:paraId="393A6AF1">
      <w:pPr>
        <w:keepLines w:val="0"/>
        <w:pageBreakBefore w:val="0"/>
        <w:widowControl w:val="0"/>
        <w:kinsoku/>
        <w:wordWrap/>
        <w:overflowPunct/>
        <w:bidi w:val="0"/>
        <w:ind w:firstLine="448" w:firstLineChars="200"/>
        <w:jc w:val="left"/>
        <w:rPr>
          <w:color w:val="auto"/>
          <w:sz w:val="24"/>
        </w:rPr>
      </w:pPr>
      <w:r>
        <w:rPr>
          <w:rFonts w:hint="eastAsia"/>
          <w:color w:val="auto"/>
          <w:sz w:val="24"/>
        </w:rPr>
        <w:t>IVR流程开发工具提供访问第三方系统的能力。</w:t>
      </w:r>
    </w:p>
    <w:tbl>
      <w:tblPr>
        <w:tblStyle w:val="22"/>
        <w:tblW w:w="8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3373"/>
        <w:gridCol w:w="5411"/>
      </w:tblGrid>
      <w:tr w14:paraId="1936C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blHeader/>
          <w:jc w:val="center"/>
        </w:trPr>
        <w:tc>
          <w:tcPr>
            <w:tcW w:w="3373" w:type="dxa"/>
            <w:tcBorders>
              <w:top w:val="single" w:color="000000" w:sz="6" w:space="0"/>
              <w:left w:val="single" w:color="auto" w:sz="6" w:space="0"/>
              <w:bottom w:val="single" w:color="000000" w:sz="6" w:space="0"/>
              <w:right w:val="single" w:color="000000" w:sz="6" w:space="0"/>
            </w:tcBorders>
            <w:shd w:val="clear" w:color="auto" w:fill="auto"/>
            <w:vAlign w:val="center"/>
          </w:tcPr>
          <w:p w14:paraId="1106979F">
            <w:pPr>
              <w:pStyle w:val="55"/>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功能</w:t>
            </w:r>
          </w:p>
        </w:tc>
        <w:tc>
          <w:tcPr>
            <w:tcW w:w="5411" w:type="dxa"/>
            <w:tcBorders>
              <w:top w:val="single" w:color="000000" w:sz="6" w:space="0"/>
              <w:left w:val="single" w:color="auto" w:sz="6" w:space="0"/>
              <w:bottom w:val="single" w:color="000000" w:sz="6" w:space="0"/>
              <w:right w:val="single" w:color="auto" w:sz="6" w:space="0"/>
            </w:tcBorders>
            <w:shd w:val="clear" w:color="auto" w:fill="auto"/>
            <w:vAlign w:val="center"/>
          </w:tcPr>
          <w:p w14:paraId="245A93F3">
            <w:pPr>
              <w:pStyle w:val="55"/>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功能描述</w:t>
            </w:r>
          </w:p>
        </w:tc>
      </w:tr>
      <w:tr w14:paraId="5D195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jc w:val="center"/>
        </w:trPr>
        <w:tc>
          <w:tcPr>
            <w:tcW w:w="3373" w:type="dxa"/>
            <w:tcBorders>
              <w:top w:val="single" w:color="000000" w:sz="6" w:space="0"/>
              <w:bottom w:val="single" w:color="000000" w:sz="6" w:space="0"/>
              <w:right w:val="single" w:color="000000" w:sz="6" w:space="0"/>
            </w:tcBorders>
            <w:shd w:val="clear" w:color="auto" w:fill="auto"/>
            <w:vAlign w:val="center"/>
          </w:tcPr>
          <w:p w14:paraId="3770261F">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数据库操作</w:t>
            </w:r>
          </w:p>
        </w:tc>
        <w:tc>
          <w:tcPr>
            <w:tcW w:w="5411" w:type="dxa"/>
            <w:tcBorders>
              <w:top w:val="single" w:color="000000" w:sz="6" w:space="0"/>
              <w:bottom w:val="single" w:color="000000" w:sz="6" w:space="0"/>
            </w:tcBorders>
            <w:shd w:val="clear" w:color="auto" w:fill="auto"/>
            <w:vAlign w:val="center"/>
          </w:tcPr>
          <w:p w14:paraId="3E07F892">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支持通过IVR流程访问数据库</w:t>
            </w:r>
          </w:p>
        </w:tc>
      </w:tr>
      <w:tr w14:paraId="2EA70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jc w:val="center"/>
        </w:trPr>
        <w:tc>
          <w:tcPr>
            <w:tcW w:w="3373" w:type="dxa"/>
            <w:tcBorders>
              <w:top w:val="single" w:color="000000" w:sz="6" w:space="0"/>
              <w:bottom w:val="single" w:color="000000" w:sz="6" w:space="0"/>
              <w:right w:val="single" w:color="000000" w:sz="6" w:space="0"/>
            </w:tcBorders>
            <w:shd w:val="clear" w:color="auto" w:fill="auto"/>
            <w:vAlign w:val="center"/>
          </w:tcPr>
          <w:p w14:paraId="2F85B935">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外接JAVA接口</w:t>
            </w:r>
          </w:p>
        </w:tc>
        <w:tc>
          <w:tcPr>
            <w:tcW w:w="5411" w:type="dxa"/>
            <w:tcBorders>
              <w:top w:val="single" w:color="000000" w:sz="6" w:space="0"/>
              <w:bottom w:val="single" w:color="000000" w:sz="6" w:space="0"/>
            </w:tcBorders>
            <w:shd w:val="clear" w:color="auto" w:fill="auto"/>
            <w:vAlign w:val="center"/>
          </w:tcPr>
          <w:p w14:paraId="3AE9A433">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调用静态Java 接口</w:t>
            </w:r>
          </w:p>
        </w:tc>
      </w:tr>
      <w:tr w14:paraId="6A55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jc w:val="center"/>
        </w:trPr>
        <w:tc>
          <w:tcPr>
            <w:tcW w:w="3373" w:type="dxa"/>
            <w:tcBorders>
              <w:top w:val="single" w:color="000000" w:sz="6" w:space="0"/>
              <w:bottom w:val="single" w:color="000000" w:sz="6" w:space="0"/>
              <w:right w:val="single" w:color="000000" w:sz="6" w:space="0"/>
            </w:tcBorders>
            <w:shd w:val="clear" w:color="auto" w:fill="auto"/>
            <w:vAlign w:val="center"/>
          </w:tcPr>
          <w:p w14:paraId="24883BAE">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WebService</w:t>
            </w:r>
          </w:p>
        </w:tc>
        <w:tc>
          <w:tcPr>
            <w:tcW w:w="5411" w:type="dxa"/>
            <w:tcBorders>
              <w:top w:val="single" w:color="000000" w:sz="6" w:space="0"/>
              <w:bottom w:val="single" w:color="000000" w:sz="6" w:space="0"/>
            </w:tcBorders>
            <w:shd w:val="clear" w:color="auto" w:fill="auto"/>
            <w:vAlign w:val="center"/>
          </w:tcPr>
          <w:p w14:paraId="24A823E8">
            <w:pPr>
              <w:pStyle w:val="56"/>
              <w:keepNext w:val="0"/>
              <w:keepLines w:val="0"/>
              <w:pageBreakBefore w:val="0"/>
              <w:widowControl w:val="0"/>
              <w:kinsoku/>
              <w:wordWrap/>
              <w:overflowPunct/>
              <w:topLinePunct/>
              <w:autoSpaceDE/>
              <w:autoSpaceDN/>
              <w:bidi w:val="0"/>
              <w:adjustRightInd/>
              <w:snapToGrid/>
              <w:spacing w:before="0" w:after="0" w:line="400" w:lineRule="exact"/>
              <w:jc w:val="center"/>
              <w:textAlignment w:val="auto"/>
              <w:rPr>
                <w:rFonts w:hint="default"/>
                <w:color w:val="auto"/>
                <w:sz w:val="24"/>
                <w:szCs w:val="24"/>
              </w:rPr>
            </w:pPr>
            <w:r>
              <w:rPr>
                <w:color w:val="auto"/>
                <w:sz w:val="24"/>
                <w:szCs w:val="24"/>
              </w:rPr>
              <w:t>通过WebService接口访问WebServer</w:t>
            </w:r>
          </w:p>
        </w:tc>
      </w:tr>
    </w:tbl>
    <w:p w14:paraId="22468B9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自动业务转人工服务</w:t>
      </w:r>
    </w:p>
    <w:p w14:paraId="25EAEC6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在IVR服务过程中，可以通过按键、识别等方式转人工服务。</w:t>
      </w:r>
    </w:p>
    <w:p w14:paraId="35108EE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支持IVR与人工服务来回互转，并且不占用话路中继资源。</w:t>
      </w:r>
    </w:p>
    <w:p w14:paraId="1A7A31E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在转移过程中，支持携带随路数据，随路数据最大数不低于1KB。在跨语音系统平台话务转移时，也需要支持随路数据转移， 随路数据根据业务需要自定义。</w:t>
      </w:r>
    </w:p>
    <w:p w14:paraId="78C9810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业务转移功能，能够在人工座席和自动台，或多个IVR之间互相任意转移业务。</w:t>
      </w:r>
    </w:p>
    <w:p w14:paraId="6C0B48E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语音IVR服务</w:t>
      </w:r>
    </w:p>
    <w:p w14:paraId="4834AE1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支持放音、收号、运算、业务转移、呼叫重定向、数据库操作等功能。</w:t>
      </w:r>
    </w:p>
    <w:p w14:paraId="6BDC6F2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语音座席服务</w:t>
      </w:r>
    </w:p>
    <w:p w14:paraId="4BA033F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支持座席签入、签出、应答、释放、示忙/示闲、休息、内部呼叫、内部求助、呼叫转移、呼叫保持、三方通话、转出等功能。</w:t>
      </w:r>
    </w:p>
    <w:p w14:paraId="7558F00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智能路由服务</w:t>
      </w:r>
    </w:p>
    <w:p w14:paraId="68270E1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为保障热线接通率，需支持智能路由策略例如分层路由服务。</w:t>
      </w:r>
    </w:p>
    <w:p w14:paraId="4F0B6EF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消息等待和排队服务</w:t>
      </w:r>
    </w:p>
    <w:p w14:paraId="2D850AF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支持消息离线等待和排队服务。</w:t>
      </w:r>
    </w:p>
    <w:p w14:paraId="14CAF49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统一排队和调度服务</w:t>
      </w:r>
    </w:p>
    <w:p w14:paraId="74D2170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支持多媒体统一排队和调度。即可将各种媒体渠道统一排队路由。</w:t>
      </w:r>
    </w:p>
    <w:p w14:paraId="68D73C6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4、会话边界控制服务</w:t>
      </w:r>
    </w:p>
    <w:p w14:paraId="61CED98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满足符合安全可靠测评要求，支持网络地址转换和穿越、网络安全控制、QoS（Quality of Service）功能</w:t>
      </w:r>
    </w:p>
    <w:p w14:paraId="4ADCE7D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编解码需要支持：G.711(A/U)、AMR、AMR-WB、G.729、Opus、H.264。</w:t>
      </w:r>
    </w:p>
    <w:p w14:paraId="7E9B42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5、网管接入服务</w:t>
      </w:r>
    </w:p>
    <w:p w14:paraId="080E45B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具备接入统一运维监控系统的服务，提供告警指标和性能指标，需对座席、中继、IVR等资源情况提供图形化监控界面，详细指标要求如下。</w:t>
      </w:r>
    </w:p>
    <w:p w14:paraId="095A590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告警指标包括但不限于：</w:t>
      </w:r>
    </w:p>
    <w:p w14:paraId="0A3EE04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（1）SIP中继故障：当SIP中继发生故障时，系统上报此告警。</w:t>
      </w:r>
    </w:p>
    <w:p w14:paraId="4D178DD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（2）SIP连接故障：当SIP连接故障时，系统上报此告警。</w:t>
      </w:r>
    </w:p>
    <w:p w14:paraId="53F1010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（3）SIP拥塞故障：当SIP拥塞故障时，系统上报此告警。</w:t>
      </w:r>
    </w:p>
    <w:p w14:paraId="51024B3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（4）不可用电路数超过阈值：当某个中继群的不可用电路数（包含不可用闭塞态电路数，故障态电路数）超过配置的百分比时，系统产生此告警。</w:t>
      </w:r>
    </w:p>
    <w:p w14:paraId="1C18F0E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（5）CPU占用率过高告警：当CPU占用率过高时，系统上报此告警。</w:t>
      </w:r>
    </w:p>
    <w:p w14:paraId="019AA75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（6）与录放音文件服务器通信中断：当排队机进程与文件服务器通信中断时，系统上报此告警。</w:t>
      </w:r>
    </w:p>
    <w:p w14:paraId="2A94DE9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性能指标包括如下：</w:t>
      </w:r>
    </w:p>
    <w:p w14:paraId="445C31D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（1）入局话务测量：获得全局的属于该话务流向呼叫的基本数据。</w:t>
      </w:r>
    </w:p>
    <w:p w14:paraId="6C3E82E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（2）占用次数：入中继电路被占用的次数。</w:t>
      </w:r>
    </w:p>
    <w:p w14:paraId="69B622F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（3）占用话务量：从入(双向)中继被占用开始，到呼叫结束的时长对应的话务量。</w:t>
      </w:r>
    </w:p>
    <w:p w14:paraId="59A45EA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（4）接通率：（接通次数+呼叫早释次数+拨号不全次数+地址无效次数）/占用次数。</w:t>
      </w:r>
    </w:p>
    <w:p w14:paraId="7CE197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（5）无效的地址的次数：入中继接收的号码数字与现有目标地址或认可的地址号码不相适应，因此，对该呼叫予以截取处理（送信号音或通知音或话务员），包括无法确定被叫和空错号等。</w:t>
      </w:r>
    </w:p>
    <w:p w14:paraId="1FD4178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（6）接通次数：接通次数。</w:t>
      </w:r>
    </w:p>
    <w:p w14:paraId="64C61CD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（7）接通话务量：接通话务量。</w:t>
      </w:r>
    </w:p>
    <w:p w14:paraId="70238BC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（8）过载控制呼损：由过载控制而造成的呼损。</w:t>
      </w:r>
    </w:p>
    <w:p w14:paraId="1DAF11F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（9）系统内部故障呼损：交换机内部故障。</w:t>
      </w:r>
    </w:p>
    <w:p w14:paraId="13171F2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6、工单系统适配要求</w:t>
      </w:r>
    </w:p>
    <w:p w14:paraId="33ED53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color w:val="auto"/>
          <w:sz w:val="24"/>
        </w:rPr>
        <w:t>（</w:t>
      </w:r>
      <w:r>
        <w:rPr>
          <w:rFonts w:hint="eastAsia"/>
          <w:color w:val="auto"/>
          <w:sz w:val="24"/>
        </w:rPr>
        <w:t>1</w:t>
      </w:r>
      <w:r>
        <w:rPr>
          <w:color w:val="auto"/>
          <w:sz w:val="24"/>
        </w:rPr>
        <w:t>）</w:t>
      </w:r>
      <w:r>
        <w:rPr>
          <w:rFonts w:hint="eastAsia"/>
          <w:color w:val="auto"/>
          <w:sz w:val="24"/>
        </w:rPr>
        <w:t>软电话汇接系统适配要求</w:t>
      </w:r>
    </w:p>
    <w:p w14:paraId="5A32EDA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沿用现有工单系统，因此需要对现有软电话汇接系统进行同步适配，保证现有在用软电话及接口功能可以正常使用，现有座席端话务采集调整功能正常使用，保障系统割接及配套智能化功能稳定进行。</w:t>
      </w:r>
    </w:p>
    <w:p w14:paraId="3DBC061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软电话汇接系统适配后须保留以下功能服务：</w:t>
      </w:r>
    </w:p>
    <w:tbl>
      <w:tblPr>
        <w:tblStyle w:val="22"/>
        <w:tblW w:w="8512" w:type="dxa"/>
        <w:jc w:val="center"/>
        <w:shd w:val="clear" w:color="auto" w:fill="auto"/>
        <w:tblLayout w:type="autofit"/>
        <w:tblCellMar>
          <w:top w:w="0" w:type="dxa"/>
          <w:left w:w="108" w:type="dxa"/>
          <w:bottom w:w="0" w:type="dxa"/>
          <w:right w:w="108" w:type="dxa"/>
        </w:tblCellMar>
      </w:tblPr>
      <w:tblGrid>
        <w:gridCol w:w="667"/>
        <w:gridCol w:w="1134"/>
        <w:gridCol w:w="6711"/>
      </w:tblGrid>
      <w:tr w14:paraId="2A0E931D">
        <w:tblPrEx>
          <w:shd w:val="clear" w:color="auto" w:fill="auto"/>
          <w:tblCellMar>
            <w:top w:w="0" w:type="dxa"/>
            <w:left w:w="108" w:type="dxa"/>
            <w:bottom w:w="0" w:type="dxa"/>
            <w:right w:w="108" w:type="dxa"/>
          </w:tblCellMar>
        </w:tblPrEx>
        <w:trPr>
          <w:cantSplit/>
          <w:tblHeader/>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783BB1DF">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序列</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C6BE006">
            <w:pPr>
              <w:pStyle w:val="58"/>
              <w:keepNext/>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Cs w:val="24"/>
              </w:rPr>
            </w:pPr>
            <w:r>
              <w:rPr>
                <w:rFonts w:hint="eastAsia" w:ascii="宋体" w:hAnsi="宋体" w:eastAsia="宋体"/>
                <w:color w:val="auto"/>
                <w:szCs w:val="24"/>
              </w:rPr>
              <w:t>功能模块</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27951880">
            <w:pPr>
              <w:pStyle w:val="58"/>
              <w:keepNext/>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Cs w:val="24"/>
              </w:rPr>
            </w:pPr>
            <w:r>
              <w:rPr>
                <w:rFonts w:hint="eastAsia" w:ascii="宋体" w:hAnsi="宋体" w:eastAsia="宋体"/>
                <w:color w:val="auto"/>
                <w:szCs w:val="24"/>
              </w:rPr>
              <w:t>功能说明</w:t>
            </w:r>
          </w:p>
        </w:tc>
      </w:tr>
      <w:tr w14:paraId="446FD24E">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58C99B9B">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1BDFF3D">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登录/退出</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651AEC1A">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座席登录系统后，开始正常工作受理呼叫；退出系统后不再受理呼叫</w:t>
            </w:r>
          </w:p>
        </w:tc>
      </w:tr>
      <w:tr w14:paraId="7C1BD689">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63B8C2AE">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2</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8BB4889">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应答呼叫</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3B1AE370">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当来电到达时，座席话机自动振铃，通过摘机应答呼叫，而不是通过点击软电话按钮应答，保持座席的日常电话使用习惯</w:t>
            </w:r>
          </w:p>
        </w:tc>
      </w:tr>
      <w:tr w14:paraId="5ABD6441">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57F18818">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3</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901D5F9">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结束呼叫</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33EED72F">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对于一个已经存在的话路，客户挂机后通话结束，座席进入话后处理状态</w:t>
            </w:r>
          </w:p>
        </w:tc>
      </w:tr>
      <w:tr w14:paraId="700086EB">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4D29F266">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4</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A1829D8">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话后处理</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6945FF6B">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通话结束后，座席进入话后处理状态，电话不会再分给该座席，话后处理的时长可由管理员设定</w:t>
            </w:r>
          </w:p>
        </w:tc>
      </w:tr>
      <w:tr w14:paraId="199A0C08">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323DDD1B">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5</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1E81A00">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通话保持</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1A8CED95">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在通话过程中可以保持通话，为客户播放音乐，而听不到座席端内部交流的声音，用于座席不挂断用户电话，进行内部业务磋商</w:t>
            </w:r>
          </w:p>
        </w:tc>
      </w:tr>
      <w:tr w14:paraId="7DA70F65">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7F8E3F98">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6</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841BD3A">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取回保持</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7E3F2C7D">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咨询完其他座席问题后，可将保持的通话取回，继续与客户进行通话</w:t>
            </w:r>
          </w:p>
        </w:tc>
      </w:tr>
      <w:tr w14:paraId="44D45599">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29272264">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7</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B0D263C">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内部咨询</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3DA4BF8B">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将一个正在进行的通话转移到其他座席，转移的同时将已记录的业务数据同步转移</w:t>
            </w:r>
          </w:p>
        </w:tc>
      </w:tr>
      <w:tr w14:paraId="49B65809">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04145423">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8</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86EF937">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外部咨询</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79C6CBF2">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将一个正在进行的通话转移到外线电话</w:t>
            </w:r>
          </w:p>
        </w:tc>
      </w:tr>
      <w:tr w14:paraId="75F15C06">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5A799CA5">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9</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439B333">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会议</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348B2F0B">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在内部或外部咨询成功后，可以进行三方通话</w:t>
            </w:r>
          </w:p>
        </w:tc>
      </w:tr>
      <w:tr w14:paraId="50F571FE">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6D7DF663">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10</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CC7B01B">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座席离席/复席</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5BCAB9A6">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座席离席是可选择离席原因，包括小休、沟通、调用、其他工作等，并支持后台添加离席原因，相关离席结果在后台会有统计结果</w:t>
            </w:r>
          </w:p>
        </w:tc>
      </w:tr>
      <w:tr w14:paraId="61C91E22">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70C004">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11</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61F479DC">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座席转IVR</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2F78D0D9">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在座席通话结束后，可将电话转到指定的IVR流程，进行满意度调查、记录信息等操作</w:t>
            </w:r>
          </w:p>
        </w:tc>
      </w:tr>
      <w:tr w14:paraId="18549CBC">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1C1F3A">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12</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4E1C438F">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外呼</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2CE66AC7">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在暂停状态下，座席可以输入被叫号码，点击拨打按钮，进行电话主动外呼</w:t>
            </w:r>
          </w:p>
        </w:tc>
      </w:tr>
      <w:tr w14:paraId="14B583D2">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7CAABD">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13</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5B8BBBD6">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监听</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3F9AE886">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质检员可以对客户和座席的通话进行监听，保证座席对问题能及时有效处理。</w:t>
            </w:r>
          </w:p>
        </w:tc>
      </w:tr>
      <w:tr w14:paraId="29DAC268">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E8B60C">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14</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0AECDD02">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强插</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274BF813">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客户、座席和质检员在同一会场中，此时三方都能听和说，便于沟通和问题的解决。</w:t>
            </w:r>
          </w:p>
        </w:tc>
      </w:tr>
      <w:tr w14:paraId="7B0D8F20">
        <w:tblPrEx>
          <w:shd w:val="clear" w:color="auto" w:fill="auto"/>
          <w:tblCellMar>
            <w:top w:w="0" w:type="dxa"/>
            <w:left w:w="108" w:type="dxa"/>
            <w:bottom w:w="0" w:type="dxa"/>
            <w:right w:w="108" w:type="dxa"/>
          </w:tblCellMar>
        </w:tblPrEx>
        <w:trPr>
          <w:cantSplit/>
          <w:jc w:val="center"/>
        </w:trPr>
        <w:tc>
          <w:tcPr>
            <w:tcW w:w="66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9C1032">
            <w:pPr>
              <w:pStyle w:val="57"/>
              <w:keepLines w:val="0"/>
              <w:pageBreakBefore w:val="0"/>
              <w:widowControl w:val="0"/>
              <w:tabs>
                <w:tab w:val="left" w:pos="75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s>
              <w:kinsoku/>
              <w:wordWrap/>
              <w:overflowPunct/>
              <w:topLinePunct w:val="0"/>
              <w:autoSpaceDE/>
              <w:autoSpaceDN/>
              <w:bidi w:val="0"/>
              <w:adjustRightInd/>
              <w:snapToGrid/>
              <w:spacing w:line="400" w:lineRule="exact"/>
              <w:jc w:val="center"/>
              <w:textAlignment w:val="auto"/>
              <w:rPr>
                <w:rFonts w:ascii="宋体" w:hAnsi="宋体" w:eastAsia="宋体"/>
                <w:color w:val="auto"/>
                <w:kern w:val="0"/>
                <w:sz w:val="24"/>
                <w:szCs w:val="24"/>
              </w:rPr>
            </w:pPr>
            <w:r>
              <w:rPr>
                <w:rFonts w:hint="eastAsia" w:ascii="宋体" w:hAnsi="宋体" w:eastAsia="宋体"/>
                <w:color w:val="auto"/>
                <w:kern w:val="0"/>
                <w:sz w:val="24"/>
                <w:szCs w:val="24"/>
              </w:rPr>
              <w:t>15</w:t>
            </w:r>
          </w:p>
        </w:tc>
        <w:tc>
          <w:tcPr>
            <w:tcW w:w="1134" w:type="dxa"/>
            <w:tcBorders>
              <w:top w:val="single" w:color="000000" w:sz="8" w:space="0"/>
              <w:left w:val="single" w:color="000000" w:sz="8" w:space="0"/>
              <w:bottom w:val="single" w:color="000000" w:sz="8" w:space="0"/>
              <w:right w:val="single" w:color="000000" w:sz="8" w:space="0"/>
            </w:tcBorders>
            <w:shd w:val="clear" w:color="auto" w:fill="auto"/>
            <w:tcMar>
              <w:top w:w="50" w:type="dxa"/>
              <w:left w:w="50" w:type="dxa"/>
              <w:bottom w:w="50" w:type="dxa"/>
              <w:right w:w="50" w:type="dxa"/>
            </w:tcMar>
            <w:vAlign w:val="center"/>
          </w:tcPr>
          <w:p w14:paraId="050E1E86">
            <w:pPr>
              <w:pStyle w:val="59"/>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24"/>
              </w:rPr>
            </w:pPr>
            <w:r>
              <w:rPr>
                <w:rFonts w:hint="eastAsia" w:ascii="宋体" w:hAnsi="宋体" w:eastAsia="宋体"/>
                <w:color w:val="auto"/>
                <w:sz w:val="24"/>
                <w:szCs w:val="24"/>
              </w:rPr>
              <w:t>拦截</w:t>
            </w:r>
          </w:p>
        </w:tc>
        <w:tc>
          <w:tcPr>
            <w:tcW w:w="6711"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vAlign w:val="center"/>
          </w:tcPr>
          <w:p w14:paraId="75BD5E3D">
            <w:pPr>
              <w:pStyle w:val="59"/>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olor w:val="auto"/>
                <w:sz w:val="24"/>
                <w:szCs w:val="24"/>
              </w:rPr>
            </w:pPr>
            <w:r>
              <w:rPr>
                <w:rFonts w:hint="eastAsia" w:ascii="宋体" w:hAnsi="宋体" w:eastAsia="宋体"/>
                <w:color w:val="auto"/>
                <w:sz w:val="24"/>
                <w:szCs w:val="24"/>
              </w:rPr>
              <w:t>质检员接管当前通话直接与客户进行语音通信，保证问题的及时处理。</w:t>
            </w:r>
          </w:p>
        </w:tc>
      </w:tr>
    </w:tbl>
    <w:p w14:paraId="2019EE4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（2）工单系统话务软电话对接适配</w:t>
      </w:r>
    </w:p>
    <w:p w14:paraId="6982328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需调整现有工单系统话务对接方式，涉及接口地址变更，需要做接口地址的切换与调试，调整对接地址，实现现有的工单业务系统中的话务功能，包括接话、外呼、示忙/示闲、话后、会话保持、离席、评价等。</w:t>
      </w:r>
    </w:p>
    <w:p w14:paraId="59E3E49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（3）工单系统浏览器来电唤起适配</w:t>
      </w:r>
    </w:p>
    <w:p w14:paraId="2337276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浏览器需具备唤起软电话的功能，做好电话接起调试，基于升级后的新话务平台，调试云桌面环境下的浏览器兼容性。</w:t>
      </w:r>
    </w:p>
    <w:p w14:paraId="03B2B63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（4）工单系统话务数据落地需求</w:t>
      </w:r>
    </w:p>
    <w:p w14:paraId="6E28152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话务数据接入，将接话数据、呼损数据、座席满意度数据、座席实时状态数据、语音播报数据、示忙状态数据、远程转接统计、排队数据、接通状态数据、等数据等。</w:t>
      </w:r>
    </w:p>
    <w:p w14:paraId="052DF93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（5）工单系统话务统计报表及可视化大屏数据校准调试</w:t>
      </w:r>
    </w:p>
    <w:p w14:paraId="13B988B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因数据源变更，需做好天津市便民专线服务平台现有的话务数据的统计报表（话务统计、呼损统计、座席满意度统计、实时状态统计、语音播报统计、示忙状态统计、接话统计、远程转接统计）和话务可视化大屏（话务实时状态、座席监控）进行实际数据调试开发，话务数据（含大屏）统计包括话务接话统计、呼损统计、座席满意度统计、座席实时状态统计、语音播报统计、示忙状态统计、远程转接统计、排队统计、接通率统计、等待时长统计等进行实际数据调试。</w:t>
      </w:r>
    </w:p>
    <w:p w14:paraId="41498B9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7、</w:t>
      </w:r>
      <w:r>
        <w:rPr>
          <w:rFonts w:hint="eastAsia" w:cs="宋体"/>
          <w:color w:val="auto"/>
          <w:kern w:val="0"/>
          <w:sz w:val="24"/>
          <w:szCs w:val="21"/>
        </w:rPr>
        <w:t>话务服务部署环境要求</w:t>
      </w:r>
    </w:p>
    <w:p w14:paraId="2860B78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cs="宋体"/>
          <w:color w:val="auto"/>
          <w:kern w:val="0"/>
          <w:sz w:val="24"/>
          <w:szCs w:val="21"/>
        </w:rPr>
      </w:pPr>
      <w:r>
        <w:rPr>
          <w:rFonts w:hint="eastAsia"/>
          <w:color w:val="auto"/>
          <w:sz w:val="24"/>
        </w:rPr>
        <w:t>为保证</w:t>
      </w:r>
      <w:r>
        <w:rPr>
          <w:rFonts w:hint="eastAsia" w:cs="宋体"/>
          <w:color w:val="auto"/>
          <w:kern w:val="0"/>
          <w:sz w:val="24"/>
          <w:szCs w:val="21"/>
        </w:rPr>
        <w:t>话务呼叫中心服务正常、安全使用，要求投标人提供话务呼叫中心服务的系统部署环境至少满足以下要求：</w:t>
      </w:r>
    </w:p>
    <w:tbl>
      <w:tblPr>
        <w:tblStyle w:val="22"/>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2"/>
        <w:gridCol w:w="1134"/>
        <w:gridCol w:w="6521"/>
        <w:gridCol w:w="1064"/>
      </w:tblGrid>
      <w:tr w14:paraId="126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692" w:type="dxa"/>
            <w:vAlign w:val="center"/>
          </w:tcPr>
          <w:p w14:paraId="2DCAB4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序号</w:t>
            </w:r>
          </w:p>
        </w:tc>
        <w:tc>
          <w:tcPr>
            <w:tcW w:w="1134" w:type="dxa"/>
            <w:shd w:val="clear" w:color="auto" w:fill="auto"/>
            <w:vAlign w:val="center"/>
          </w:tcPr>
          <w:p w14:paraId="2B609D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名称</w:t>
            </w:r>
          </w:p>
        </w:tc>
        <w:tc>
          <w:tcPr>
            <w:tcW w:w="6521" w:type="dxa"/>
            <w:shd w:val="clear" w:color="auto" w:fill="auto"/>
            <w:noWrap/>
            <w:vAlign w:val="center"/>
          </w:tcPr>
          <w:p w14:paraId="2CAA54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服务内容</w:t>
            </w:r>
          </w:p>
        </w:tc>
        <w:tc>
          <w:tcPr>
            <w:tcW w:w="1064" w:type="dxa"/>
            <w:shd w:val="clear" w:color="auto" w:fill="auto"/>
            <w:vAlign w:val="center"/>
          </w:tcPr>
          <w:p w14:paraId="2D8689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bCs/>
                <w:color w:val="auto"/>
                <w:kern w:val="0"/>
                <w:sz w:val="24"/>
                <w:szCs w:val="24"/>
              </w:rPr>
              <w:t>数量</w:t>
            </w:r>
          </w:p>
        </w:tc>
      </w:tr>
      <w:tr w14:paraId="2427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48F1CA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134" w:type="dxa"/>
            <w:shd w:val="clear" w:color="auto" w:fill="auto"/>
            <w:vAlign w:val="center"/>
          </w:tcPr>
          <w:p w14:paraId="392A4E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数据库</w:t>
            </w:r>
          </w:p>
        </w:tc>
        <w:tc>
          <w:tcPr>
            <w:tcW w:w="6521" w:type="dxa"/>
            <w:shd w:val="clear" w:color="auto" w:fill="auto"/>
            <w:vAlign w:val="center"/>
          </w:tcPr>
          <w:p w14:paraId="7CB542C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满足符合安全可靠测评要求</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需要支持全自研数据库内核架构，技术完全自主可控，能够提供快速的需求响应和运维支持。</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易开发：兼容SQL2003标准，支持存储过程和丰富的API接口（JDBC、ODBC、PYTHON、GO、C-API）。</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易运维：可视化运维工具、完善的异构数据迁移工具、图形化的开发调测和性能优化工具集。</w:t>
            </w:r>
          </w:p>
        </w:tc>
        <w:tc>
          <w:tcPr>
            <w:tcW w:w="1064" w:type="dxa"/>
            <w:shd w:val="clear" w:color="auto" w:fill="auto"/>
            <w:vAlign w:val="center"/>
          </w:tcPr>
          <w:p w14:paraId="3A7EBB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2套</w:t>
            </w:r>
          </w:p>
        </w:tc>
      </w:tr>
      <w:tr w14:paraId="38C2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28B333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134" w:type="dxa"/>
            <w:shd w:val="clear" w:color="auto" w:fill="auto"/>
            <w:vAlign w:val="center"/>
          </w:tcPr>
          <w:p w14:paraId="742C25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语音网关</w:t>
            </w:r>
          </w:p>
        </w:tc>
        <w:tc>
          <w:tcPr>
            <w:tcW w:w="6521" w:type="dxa"/>
            <w:shd w:val="clear" w:color="auto" w:fill="auto"/>
            <w:vAlign w:val="center"/>
          </w:tcPr>
          <w:p w14:paraId="00B1E0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不低于以下配置：支持协议：ISUP转SIP、PRA转SIP</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语音编解码：G.711a/μ law，G.723.1，G.729A/B，iLBC， AMR</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E1端口数量：≥16</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电源：支持冗余电源，100-240VAC， 50-60 Hz</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功耗：≤45W</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尺寸：≤1U</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认证：通过CE， FCC</w:t>
            </w:r>
          </w:p>
        </w:tc>
        <w:tc>
          <w:tcPr>
            <w:tcW w:w="1064" w:type="dxa"/>
            <w:shd w:val="clear" w:color="auto" w:fill="auto"/>
            <w:vAlign w:val="center"/>
          </w:tcPr>
          <w:p w14:paraId="416EE1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2台</w:t>
            </w:r>
          </w:p>
        </w:tc>
      </w:tr>
      <w:tr w14:paraId="3E5B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664B70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1134" w:type="dxa"/>
            <w:shd w:val="clear" w:color="auto" w:fill="auto"/>
            <w:vAlign w:val="center"/>
          </w:tcPr>
          <w:p w14:paraId="52478B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服务器</w:t>
            </w:r>
          </w:p>
        </w:tc>
        <w:tc>
          <w:tcPr>
            <w:tcW w:w="6521" w:type="dxa"/>
            <w:shd w:val="clear" w:color="auto" w:fill="auto"/>
            <w:vAlign w:val="center"/>
          </w:tcPr>
          <w:p w14:paraId="2C4B61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CPU≥(64c 3.0GHz)*2，需符合安全可靠测评要求</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内存≥单条DDR4-3200及以上ECC Registered DIMM_32GB*26</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存储≥960GB存储*8</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Raid卡（链路支持12G，需支持RAID0、RAID1、RAID5、RAID6、RAID10等以及磁盘直通none-raid，2G cache，提供掉电保护）</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网卡≥双端口10GE网卡*2，含多模光模块，支持DPDK、RDMA</w:t>
            </w:r>
          </w:p>
        </w:tc>
        <w:tc>
          <w:tcPr>
            <w:tcW w:w="1064" w:type="dxa"/>
            <w:shd w:val="clear" w:color="auto" w:fill="auto"/>
            <w:vAlign w:val="center"/>
          </w:tcPr>
          <w:p w14:paraId="62DA9F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4台</w:t>
            </w:r>
          </w:p>
        </w:tc>
      </w:tr>
      <w:tr w14:paraId="05B6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1FC56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w:t>
            </w:r>
          </w:p>
        </w:tc>
        <w:tc>
          <w:tcPr>
            <w:tcW w:w="1134" w:type="dxa"/>
            <w:shd w:val="clear" w:color="auto" w:fill="auto"/>
            <w:vAlign w:val="center"/>
          </w:tcPr>
          <w:p w14:paraId="3DC719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服务器虚拟机操作系统</w:t>
            </w:r>
          </w:p>
        </w:tc>
        <w:tc>
          <w:tcPr>
            <w:tcW w:w="6521" w:type="dxa"/>
            <w:shd w:val="clear" w:color="auto" w:fill="auto"/>
            <w:vAlign w:val="center"/>
          </w:tcPr>
          <w:p w14:paraId="33144D9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正版服务器操作系统，需符合安全可靠测评要求</w:t>
            </w:r>
          </w:p>
        </w:tc>
        <w:tc>
          <w:tcPr>
            <w:tcW w:w="1064" w:type="dxa"/>
            <w:shd w:val="clear" w:color="auto" w:fill="auto"/>
            <w:vAlign w:val="center"/>
          </w:tcPr>
          <w:p w14:paraId="411DD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40套</w:t>
            </w:r>
          </w:p>
        </w:tc>
      </w:tr>
      <w:tr w14:paraId="687D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37521D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w:t>
            </w:r>
          </w:p>
        </w:tc>
        <w:tc>
          <w:tcPr>
            <w:tcW w:w="1134" w:type="dxa"/>
            <w:shd w:val="clear" w:color="auto" w:fill="auto"/>
            <w:vAlign w:val="center"/>
          </w:tcPr>
          <w:p w14:paraId="6C382A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服务器数据库虚机操作系统</w:t>
            </w:r>
          </w:p>
        </w:tc>
        <w:tc>
          <w:tcPr>
            <w:tcW w:w="6521" w:type="dxa"/>
            <w:shd w:val="clear" w:color="auto" w:fill="auto"/>
            <w:vAlign w:val="center"/>
          </w:tcPr>
          <w:p w14:paraId="54913CC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正版服务器操作系统，需符合安全可靠测评要求</w:t>
            </w:r>
          </w:p>
        </w:tc>
        <w:tc>
          <w:tcPr>
            <w:tcW w:w="1064" w:type="dxa"/>
            <w:shd w:val="clear" w:color="auto" w:fill="auto"/>
            <w:vAlign w:val="center"/>
          </w:tcPr>
          <w:p w14:paraId="63C4D4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2套</w:t>
            </w:r>
          </w:p>
        </w:tc>
      </w:tr>
      <w:tr w14:paraId="5A7A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59776A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w:t>
            </w:r>
          </w:p>
        </w:tc>
        <w:tc>
          <w:tcPr>
            <w:tcW w:w="1134" w:type="dxa"/>
            <w:shd w:val="clear" w:color="auto" w:fill="auto"/>
            <w:vAlign w:val="center"/>
          </w:tcPr>
          <w:p w14:paraId="347195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服务器宿主机操作系统</w:t>
            </w:r>
          </w:p>
        </w:tc>
        <w:tc>
          <w:tcPr>
            <w:tcW w:w="6521" w:type="dxa"/>
            <w:shd w:val="clear" w:color="auto" w:fill="auto"/>
            <w:noWrap/>
            <w:vAlign w:val="center"/>
          </w:tcPr>
          <w:p w14:paraId="35F11E4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正版服务器操作系统，需符合安全可靠测评要求</w:t>
            </w:r>
          </w:p>
        </w:tc>
        <w:tc>
          <w:tcPr>
            <w:tcW w:w="1064" w:type="dxa"/>
            <w:shd w:val="clear" w:color="auto" w:fill="auto"/>
            <w:vAlign w:val="center"/>
          </w:tcPr>
          <w:p w14:paraId="60D622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4套</w:t>
            </w:r>
          </w:p>
        </w:tc>
      </w:tr>
      <w:tr w14:paraId="0EAD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3D78E2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w:t>
            </w:r>
          </w:p>
        </w:tc>
        <w:tc>
          <w:tcPr>
            <w:tcW w:w="1134" w:type="dxa"/>
            <w:shd w:val="clear" w:color="auto" w:fill="auto"/>
            <w:vAlign w:val="center"/>
          </w:tcPr>
          <w:p w14:paraId="3B2C42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集中存储</w:t>
            </w:r>
          </w:p>
        </w:tc>
        <w:tc>
          <w:tcPr>
            <w:tcW w:w="6521" w:type="dxa"/>
            <w:shd w:val="clear" w:color="auto" w:fill="auto"/>
            <w:vAlign w:val="center"/>
          </w:tcPr>
          <w:p w14:paraId="4F09537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≥1024G内存，控制框，风扇、电源等所需的配件、辅材</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≥24块10GE/iSCSI单端口（含光模块、线缆等辅材），≥24块SAS SSD/3.84TB 企业级存储（含硬盘框）</w:t>
            </w:r>
          </w:p>
        </w:tc>
        <w:tc>
          <w:tcPr>
            <w:tcW w:w="1064" w:type="dxa"/>
            <w:shd w:val="clear" w:color="auto" w:fill="auto"/>
            <w:vAlign w:val="center"/>
          </w:tcPr>
          <w:p w14:paraId="260BF1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1套</w:t>
            </w:r>
          </w:p>
        </w:tc>
      </w:tr>
      <w:tr w14:paraId="2B3A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1377CE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w:t>
            </w:r>
          </w:p>
        </w:tc>
        <w:tc>
          <w:tcPr>
            <w:tcW w:w="1134" w:type="dxa"/>
            <w:shd w:val="clear" w:color="auto" w:fill="auto"/>
            <w:vAlign w:val="center"/>
          </w:tcPr>
          <w:p w14:paraId="5C19E0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数据中心虚拟化软件</w:t>
            </w:r>
          </w:p>
        </w:tc>
        <w:tc>
          <w:tcPr>
            <w:tcW w:w="6521" w:type="dxa"/>
            <w:shd w:val="clear" w:color="auto" w:fill="auto"/>
            <w:noWrap/>
            <w:vAlign w:val="center"/>
          </w:tcPr>
          <w:p w14:paraId="5688D2F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支持部署在需符合安全可靠测评要求架构的物理服务器上</w:t>
            </w:r>
          </w:p>
          <w:p w14:paraId="32DC836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支持虚拟机规格的在线或离线调整，包括CPU、内存、硬盘、网卡等资源，支持重启生效。</w:t>
            </w:r>
          </w:p>
          <w:p w14:paraId="32A63E7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虚拟化平台使用存储设备时，须支持本地存储、IP-SAN、FC-SAN、NAS等不同类型的存储设备。</w:t>
            </w:r>
          </w:p>
        </w:tc>
        <w:tc>
          <w:tcPr>
            <w:tcW w:w="1064" w:type="dxa"/>
            <w:shd w:val="clear" w:color="auto" w:fill="auto"/>
            <w:vAlign w:val="center"/>
          </w:tcPr>
          <w:p w14:paraId="1E2DC0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1套</w:t>
            </w:r>
          </w:p>
        </w:tc>
      </w:tr>
      <w:tr w14:paraId="02FA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7C27BB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9</w:t>
            </w:r>
          </w:p>
        </w:tc>
        <w:tc>
          <w:tcPr>
            <w:tcW w:w="1134" w:type="dxa"/>
            <w:shd w:val="clear" w:color="auto" w:fill="auto"/>
            <w:vAlign w:val="center"/>
          </w:tcPr>
          <w:p w14:paraId="0A80ED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千兆交换机</w:t>
            </w:r>
          </w:p>
        </w:tc>
        <w:tc>
          <w:tcPr>
            <w:tcW w:w="6521" w:type="dxa"/>
            <w:shd w:val="clear" w:color="auto" w:fill="auto"/>
            <w:vAlign w:val="center"/>
          </w:tcPr>
          <w:p w14:paraId="3D768F6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≥8个10/100/1000BASE-T以太网端口，</w:t>
            </w:r>
          </w:p>
          <w:p w14:paraId="65BDEC7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≥4个千兆SFP</w:t>
            </w:r>
          </w:p>
        </w:tc>
        <w:tc>
          <w:tcPr>
            <w:tcW w:w="1064" w:type="dxa"/>
            <w:shd w:val="clear" w:color="auto" w:fill="auto"/>
            <w:vAlign w:val="center"/>
          </w:tcPr>
          <w:p w14:paraId="34AE91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8台</w:t>
            </w:r>
          </w:p>
        </w:tc>
      </w:tr>
      <w:tr w14:paraId="350F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92" w:type="dxa"/>
            <w:vAlign w:val="center"/>
          </w:tcPr>
          <w:p w14:paraId="248186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w:t>
            </w:r>
          </w:p>
        </w:tc>
        <w:tc>
          <w:tcPr>
            <w:tcW w:w="1134" w:type="dxa"/>
            <w:shd w:val="clear" w:color="auto" w:fill="auto"/>
            <w:vAlign w:val="center"/>
          </w:tcPr>
          <w:p w14:paraId="1F6566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防火墙</w:t>
            </w:r>
          </w:p>
        </w:tc>
        <w:tc>
          <w:tcPr>
            <w:tcW w:w="6521" w:type="dxa"/>
            <w:shd w:val="clear" w:color="auto" w:fill="auto"/>
            <w:vAlign w:val="center"/>
          </w:tcPr>
          <w:p w14:paraId="69669C5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吞吐率：≥40Gbps</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混合包吞吐量：≥30Gbps</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最大并发连接数：≥1200万</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每秒新增会话数：≥40万</w:t>
            </w:r>
            <w:r>
              <w:rPr>
                <w:rFonts w:hint="default" w:ascii="Times New Roman" w:hAnsi="Times New Roman" w:eastAsia="宋体" w:cs="Times New Roman"/>
                <w:color w:val="auto"/>
                <w:kern w:val="0"/>
                <w:sz w:val="24"/>
                <w:szCs w:val="24"/>
              </w:rPr>
              <w:br w:type="textWrapping"/>
            </w:r>
            <w:r>
              <w:rPr>
                <w:rFonts w:hint="default" w:ascii="Times New Roman" w:hAnsi="Times New Roman" w:eastAsia="宋体" w:cs="Times New Roman"/>
                <w:color w:val="auto"/>
                <w:kern w:val="0"/>
                <w:sz w:val="24"/>
                <w:szCs w:val="24"/>
              </w:rPr>
              <w:t>业务板卡≥8个10GE光口</w:t>
            </w:r>
          </w:p>
        </w:tc>
        <w:tc>
          <w:tcPr>
            <w:tcW w:w="1064" w:type="dxa"/>
            <w:shd w:val="clear" w:color="auto" w:fill="auto"/>
            <w:vAlign w:val="center"/>
          </w:tcPr>
          <w:p w14:paraId="0A472F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2套</w:t>
            </w:r>
          </w:p>
        </w:tc>
      </w:tr>
    </w:tbl>
    <w:p w14:paraId="14C04FB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2"/>
        <w:rPr>
          <w:color w:val="auto"/>
          <w:sz w:val="24"/>
        </w:rPr>
      </w:pPr>
      <w:r>
        <w:rPr>
          <w:rFonts w:hint="eastAsia"/>
          <w:color w:val="auto"/>
          <w:sz w:val="24"/>
        </w:rPr>
        <w:t>（三）云桌面服务要求</w:t>
      </w:r>
    </w:p>
    <w:p w14:paraId="5E39874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1、桌面虚拟化服务要求</w:t>
      </w:r>
    </w:p>
    <w:tbl>
      <w:tblPr>
        <w:tblStyle w:val="22"/>
        <w:tblW w:w="54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53"/>
        <w:gridCol w:w="1315"/>
        <w:gridCol w:w="7546"/>
      </w:tblGrid>
      <w:tr w14:paraId="140B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49" w:type="pct"/>
            <w:gridSpan w:val="2"/>
            <w:shd w:val="clear" w:color="auto" w:fill="auto"/>
            <w:vAlign w:val="center"/>
          </w:tcPr>
          <w:p w14:paraId="06B4D6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指标项</w:t>
            </w:r>
          </w:p>
        </w:tc>
        <w:tc>
          <w:tcPr>
            <w:tcW w:w="4050" w:type="pct"/>
            <w:shd w:val="clear" w:color="auto" w:fill="auto"/>
            <w:vAlign w:val="center"/>
          </w:tcPr>
          <w:p w14:paraId="022F5B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指标要求</w:t>
            </w:r>
          </w:p>
        </w:tc>
      </w:tr>
      <w:tr w14:paraId="46C4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01AC3E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基本要求</w:t>
            </w:r>
          </w:p>
        </w:tc>
        <w:tc>
          <w:tcPr>
            <w:tcW w:w="705" w:type="pct"/>
            <w:shd w:val="clear" w:color="auto" w:fill="auto"/>
            <w:vAlign w:val="center"/>
          </w:tcPr>
          <w:p w14:paraId="7019AA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★授权数量</w:t>
            </w:r>
          </w:p>
        </w:tc>
        <w:tc>
          <w:tcPr>
            <w:tcW w:w="4050" w:type="pct"/>
            <w:shd w:val="clear" w:color="auto" w:fill="auto"/>
            <w:vAlign w:val="center"/>
          </w:tcPr>
          <w:p w14:paraId="0168DE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提供不少于450点专网450点应急和150点互联网云桌面软件license并发授权（含云桌面相关管理平台3套及服务器虚拟化软件50个物理CPU管理授权）。每个云桌面满足4核CPU、8G内存、200G硬盘三副本，</w:t>
            </w:r>
          </w:p>
        </w:tc>
      </w:tr>
      <w:tr w14:paraId="3D74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12AE22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10520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虚拟化</w:t>
            </w:r>
          </w:p>
        </w:tc>
        <w:tc>
          <w:tcPr>
            <w:tcW w:w="4050" w:type="pct"/>
            <w:shd w:val="clear" w:color="auto" w:fill="auto"/>
            <w:vAlign w:val="center"/>
          </w:tcPr>
          <w:p w14:paraId="3E0428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采用数据中心虚拟化的模式，所有桌面都运行在数据中心。</w:t>
            </w:r>
          </w:p>
        </w:tc>
      </w:tr>
      <w:tr w14:paraId="3C97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486E7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B8C1E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VDI模式要求</w:t>
            </w:r>
          </w:p>
        </w:tc>
        <w:tc>
          <w:tcPr>
            <w:tcW w:w="4050" w:type="pct"/>
            <w:shd w:val="clear" w:color="auto" w:fill="auto"/>
            <w:vAlign w:val="center"/>
          </w:tcPr>
          <w:p w14:paraId="054808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运行界面以屏幕变化量的方式传送给客户端显示，网络上仅传输屏幕变化指令和客户端输入设备的指令。</w:t>
            </w:r>
          </w:p>
        </w:tc>
      </w:tr>
      <w:tr w14:paraId="3DA5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43D80B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194C0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云桌面协议安全性</w:t>
            </w:r>
          </w:p>
        </w:tc>
        <w:tc>
          <w:tcPr>
            <w:tcW w:w="4050" w:type="pct"/>
            <w:shd w:val="clear" w:color="auto" w:fill="auto"/>
            <w:vAlign w:val="center"/>
          </w:tcPr>
          <w:p w14:paraId="5A4F4E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为了考虑安全性，桌面传输协议100%源码自主可控，在服务器虚拟化层上安装任何程序，桌面传输协议服务端组件化部署在云桌面内。</w:t>
            </w:r>
          </w:p>
        </w:tc>
      </w:tr>
      <w:tr w14:paraId="25C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302756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EDDA7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安全性</w:t>
            </w:r>
          </w:p>
        </w:tc>
        <w:tc>
          <w:tcPr>
            <w:tcW w:w="4050" w:type="pct"/>
            <w:shd w:val="clear" w:color="auto" w:fill="auto"/>
            <w:vAlign w:val="center"/>
          </w:tcPr>
          <w:p w14:paraId="0D9C39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使用的桌面连接协议，必须支持HTTPS、SSL等加密技术。</w:t>
            </w:r>
          </w:p>
        </w:tc>
      </w:tr>
      <w:tr w14:paraId="3A63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9338A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54957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互联网接入</w:t>
            </w:r>
          </w:p>
        </w:tc>
        <w:tc>
          <w:tcPr>
            <w:tcW w:w="4050" w:type="pct"/>
            <w:shd w:val="clear" w:color="auto" w:fill="auto"/>
            <w:vAlign w:val="center"/>
          </w:tcPr>
          <w:p w14:paraId="324C55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支持终端通过互联网接入云桌面，提供互联网接入代理服务。要求自带SSL加密接入功能。</w:t>
            </w:r>
          </w:p>
        </w:tc>
      </w:tr>
      <w:tr w14:paraId="3B44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DF26E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3591E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实配功能</w:t>
            </w:r>
          </w:p>
        </w:tc>
        <w:tc>
          <w:tcPr>
            <w:tcW w:w="4050" w:type="pct"/>
            <w:shd w:val="clear" w:color="auto" w:fill="auto"/>
            <w:vAlign w:val="center"/>
          </w:tcPr>
          <w:p w14:paraId="7EFCF2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指标要求所有功能都应为实际配备功能。</w:t>
            </w:r>
          </w:p>
        </w:tc>
      </w:tr>
      <w:tr w14:paraId="70C3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06E606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兼容性要求</w:t>
            </w:r>
          </w:p>
        </w:tc>
        <w:tc>
          <w:tcPr>
            <w:tcW w:w="705" w:type="pct"/>
            <w:shd w:val="clear" w:color="auto" w:fill="auto"/>
            <w:vAlign w:val="center"/>
          </w:tcPr>
          <w:p w14:paraId="209018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 xml:space="preserve">★用户端硬件平台兼容性 </w:t>
            </w:r>
          </w:p>
        </w:tc>
        <w:tc>
          <w:tcPr>
            <w:tcW w:w="4050" w:type="pct"/>
            <w:shd w:val="clear" w:color="auto" w:fill="auto"/>
            <w:vAlign w:val="center"/>
          </w:tcPr>
          <w:p w14:paraId="0B362C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支持用户通过多种设备（瘦客户端、平板电脑、智能手机、笔记本电脑等）访问云桌面，相关设备包括但不限于兆芯、飞腾、鲲鹏、龙芯等硬件平台。</w:t>
            </w:r>
          </w:p>
        </w:tc>
      </w:tr>
      <w:tr w14:paraId="4580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28C4E1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D4866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用户端访问兼容性</w:t>
            </w:r>
          </w:p>
        </w:tc>
        <w:tc>
          <w:tcPr>
            <w:tcW w:w="4050" w:type="pct"/>
            <w:shd w:val="clear" w:color="auto" w:fill="auto"/>
            <w:vAlign w:val="center"/>
          </w:tcPr>
          <w:p w14:paraId="55F3B0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支持用户通过浏览器、客户端方式访问云桌面。</w:t>
            </w:r>
          </w:p>
        </w:tc>
      </w:tr>
      <w:tr w14:paraId="21F0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30E7179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2286A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服务器端系统平台兼容性</w:t>
            </w:r>
          </w:p>
        </w:tc>
        <w:tc>
          <w:tcPr>
            <w:tcW w:w="4050" w:type="pct"/>
            <w:shd w:val="clear" w:color="auto" w:fill="auto"/>
            <w:vAlign w:val="center"/>
          </w:tcPr>
          <w:p w14:paraId="73A493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支持桌面云平台部署在符合国产化要求的主流品牌服务器上（采用芯片包括但不限于海光、鲲鹏等）。</w:t>
            </w:r>
          </w:p>
        </w:tc>
      </w:tr>
      <w:tr w14:paraId="2B6F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B003C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9B9B5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发布云桌面兼容性</w:t>
            </w:r>
          </w:p>
        </w:tc>
        <w:tc>
          <w:tcPr>
            <w:tcW w:w="4050" w:type="pct"/>
            <w:shd w:val="clear" w:color="auto" w:fill="auto"/>
            <w:vAlign w:val="center"/>
          </w:tcPr>
          <w:p w14:paraId="493580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支持在桌面云平台上发布国产操作系统（包括但不限于UOS和麒麟操作系统）。</w:t>
            </w:r>
          </w:p>
        </w:tc>
      </w:tr>
      <w:tr w14:paraId="022B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5977BA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D2291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外设兼容性</w:t>
            </w:r>
          </w:p>
        </w:tc>
        <w:tc>
          <w:tcPr>
            <w:tcW w:w="4050" w:type="pct"/>
            <w:shd w:val="clear" w:color="auto" w:fill="auto"/>
            <w:vAlign w:val="center"/>
          </w:tcPr>
          <w:p w14:paraId="694D3C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支持客户端的USB端口映射、驱动器的映射、剪贴板映射，支持禁用/启用本地磁盘、USB存储设备和USB设备黑、白名单，并支持USB设备ID配置，本地打印机、剪贴板等映射到虚拟桌面的功能，支持配置单双向复制。</w:t>
            </w:r>
          </w:p>
        </w:tc>
      </w:tr>
      <w:tr w14:paraId="6544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4B362E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FBA63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移动终端兼容性</w:t>
            </w:r>
          </w:p>
        </w:tc>
        <w:tc>
          <w:tcPr>
            <w:tcW w:w="4050" w:type="pct"/>
            <w:shd w:val="clear" w:color="auto" w:fill="auto"/>
            <w:vAlign w:val="center"/>
          </w:tcPr>
          <w:p w14:paraId="51BA0C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支持自动检测移动设备接入并将桌面展现形式转化为适应于移动终端展现形式。</w:t>
            </w:r>
          </w:p>
        </w:tc>
      </w:tr>
      <w:tr w14:paraId="4C93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0844DC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可维护性要求</w:t>
            </w:r>
          </w:p>
        </w:tc>
        <w:tc>
          <w:tcPr>
            <w:tcW w:w="705" w:type="pct"/>
            <w:shd w:val="clear" w:color="auto" w:fill="auto"/>
            <w:vAlign w:val="center"/>
          </w:tcPr>
          <w:p w14:paraId="69C901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运维管理平台</w:t>
            </w:r>
          </w:p>
        </w:tc>
        <w:tc>
          <w:tcPr>
            <w:tcW w:w="4050" w:type="pct"/>
            <w:shd w:val="clear" w:color="auto" w:fill="auto"/>
            <w:vAlign w:val="center"/>
          </w:tcPr>
          <w:p w14:paraId="030607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支持运维管理平台对服务器集群计算、存储、网络资源，虚拟机镜像、虚拟机模板、云桌面、用户等进行统一运维管理。</w:t>
            </w:r>
          </w:p>
        </w:tc>
      </w:tr>
      <w:tr w14:paraId="79D9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2BE14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05A6CC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健康监控</w:t>
            </w:r>
          </w:p>
        </w:tc>
        <w:tc>
          <w:tcPr>
            <w:tcW w:w="4050" w:type="pct"/>
            <w:shd w:val="clear" w:color="auto" w:fill="auto"/>
            <w:vAlign w:val="center"/>
          </w:tcPr>
          <w:p w14:paraId="61D56C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支持系统健康度监控，实时监测物理机状态、CPU利用率、内存利用率、磁盘利用率。</w:t>
            </w:r>
          </w:p>
        </w:tc>
      </w:tr>
      <w:tr w14:paraId="27E3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408AF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252D0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快速发放</w:t>
            </w:r>
          </w:p>
        </w:tc>
        <w:tc>
          <w:tcPr>
            <w:tcW w:w="4050" w:type="pct"/>
            <w:shd w:val="clear" w:color="auto" w:fill="auto"/>
            <w:vAlign w:val="center"/>
          </w:tcPr>
          <w:p w14:paraId="2D9FFC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支持云桌面快速发放功能，一次操作就可以完成虚拟机的创建与发放，无需管理员中间干预。</w:t>
            </w:r>
          </w:p>
        </w:tc>
      </w:tr>
      <w:tr w14:paraId="498C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74316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4EDE6D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云桌面资源分配</w:t>
            </w:r>
          </w:p>
        </w:tc>
        <w:tc>
          <w:tcPr>
            <w:tcW w:w="4050" w:type="pct"/>
            <w:shd w:val="clear" w:color="auto" w:fill="auto"/>
            <w:vAlign w:val="center"/>
          </w:tcPr>
          <w:p w14:paraId="63AC5E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支持虚拟机镜像制作，支持虚拟机镜像创建虚拟桌面，支持调整虚拟机vCPU数量、内存容量、磁盘空间。</w:t>
            </w:r>
          </w:p>
        </w:tc>
      </w:tr>
      <w:tr w14:paraId="5A78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28034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282F8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★云桌面批量部署</w:t>
            </w:r>
          </w:p>
        </w:tc>
        <w:tc>
          <w:tcPr>
            <w:tcW w:w="4050" w:type="pct"/>
            <w:shd w:val="clear" w:color="auto" w:fill="auto"/>
            <w:vAlign w:val="center"/>
          </w:tcPr>
          <w:p w14:paraId="43E65B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支持快速批量创建虚拟桌面，支持用户账号批量导入，支持批量创建分配云桌面。</w:t>
            </w:r>
          </w:p>
        </w:tc>
      </w:tr>
      <w:tr w14:paraId="0D10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572A90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3CBA3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云桌面批量修改</w:t>
            </w:r>
          </w:p>
        </w:tc>
        <w:tc>
          <w:tcPr>
            <w:tcW w:w="4050" w:type="pct"/>
            <w:shd w:val="clear" w:color="auto" w:fill="auto"/>
            <w:vAlign w:val="center"/>
          </w:tcPr>
          <w:p w14:paraId="16702F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支持快速批量修改虚拟桌面vCPU数量、内存容量，支持增加或修改虚拟网卡及磁盘空间。</w:t>
            </w:r>
          </w:p>
        </w:tc>
      </w:tr>
      <w:tr w14:paraId="5E55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43F78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A1D89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★云桌面状态调整</w:t>
            </w:r>
          </w:p>
        </w:tc>
        <w:tc>
          <w:tcPr>
            <w:tcW w:w="4050" w:type="pct"/>
            <w:shd w:val="clear" w:color="auto" w:fill="auto"/>
            <w:vAlign w:val="center"/>
          </w:tcPr>
          <w:p w14:paraId="750FFA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支持快速批量调整虚拟桌面运行状态（包括但不限于启动、重启、关闭、删除等）。</w:t>
            </w:r>
          </w:p>
        </w:tc>
      </w:tr>
      <w:tr w14:paraId="0E9C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3E28C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4A41C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查看、监控与导出</w:t>
            </w:r>
          </w:p>
        </w:tc>
        <w:tc>
          <w:tcPr>
            <w:tcW w:w="4050" w:type="pct"/>
            <w:shd w:val="clear" w:color="auto" w:fill="auto"/>
            <w:vAlign w:val="center"/>
          </w:tcPr>
          <w:p w14:paraId="2CB40A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支持快速批量查看、监控虚拟桌面状态，并支持导出功能（包括但不限于并发用户会话、用户使用时长、服务器负载情况、存储利用率、存储性能情况等）。</w:t>
            </w:r>
          </w:p>
        </w:tc>
      </w:tr>
      <w:tr w14:paraId="3887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C4651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4C833A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云桌面发布模式</w:t>
            </w:r>
          </w:p>
        </w:tc>
        <w:tc>
          <w:tcPr>
            <w:tcW w:w="4050" w:type="pct"/>
            <w:shd w:val="clear" w:color="auto" w:fill="auto"/>
            <w:vAlign w:val="center"/>
          </w:tcPr>
          <w:p w14:paraId="011588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支持发布专有桌面、池桌面。</w:t>
            </w:r>
          </w:p>
        </w:tc>
      </w:tr>
      <w:tr w14:paraId="1516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487CD5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C6855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桌面静态IP绑定</w:t>
            </w:r>
          </w:p>
        </w:tc>
        <w:tc>
          <w:tcPr>
            <w:tcW w:w="4050" w:type="pct"/>
            <w:shd w:val="clear" w:color="auto" w:fill="auto"/>
            <w:vAlign w:val="center"/>
          </w:tcPr>
          <w:p w14:paraId="245A6F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支持指定IP地址创建云桌面，支持静态桌面IP绑定，支持云桌面重启后IP地址不变。</w:t>
            </w:r>
          </w:p>
        </w:tc>
      </w:tr>
      <w:tr w14:paraId="5258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49164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DE607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自动化运维</w:t>
            </w:r>
          </w:p>
        </w:tc>
        <w:tc>
          <w:tcPr>
            <w:tcW w:w="4050" w:type="pct"/>
            <w:shd w:val="clear" w:color="auto" w:fill="auto"/>
            <w:vAlign w:val="center"/>
          </w:tcPr>
          <w:p w14:paraId="3BE059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支持自动化运维功能，在无人值守的情况下对系统进行管理，包括但不限于定时任务管理、定时开机、关机、重启等。</w:t>
            </w:r>
          </w:p>
        </w:tc>
      </w:tr>
      <w:tr w14:paraId="7107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8D041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46EDE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用户/用户组管理</w:t>
            </w:r>
          </w:p>
        </w:tc>
        <w:tc>
          <w:tcPr>
            <w:tcW w:w="4050" w:type="pct"/>
            <w:shd w:val="clear" w:color="auto" w:fill="auto"/>
            <w:vAlign w:val="center"/>
          </w:tcPr>
          <w:p w14:paraId="50E13B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支持用户/用户组批量管理、搜索、启用、禁用、设置修改密码等。</w:t>
            </w:r>
          </w:p>
        </w:tc>
      </w:tr>
      <w:tr w14:paraId="2308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22FDCB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FB6E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管理员通知</w:t>
            </w:r>
          </w:p>
        </w:tc>
        <w:tc>
          <w:tcPr>
            <w:tcW w:w="4050" w:type="pct"/>
            <w:shd w:val="clear" w:color="auto" w:fill="auto"/>
            <w:vAlign w:val="center"/>
          </w:tcPr>
          <w:p w14:paraId="7B1126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支持消息分发功能，支持管理员在控制台发送通知至特定的终端在线用户，终端在线用户即时接收到信息提示。</w:t>
            </w:r>
          </w:p>
        </w:tc>
      </w:tr>
      <w:tr w14:paraId="6C05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505A35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793B4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可扩展性</w:t>
            </w:r>
          </w:p>
        </w:tc>
        <w:tc>
          <w:tcPr>
            <w:tcW w:w="4050" w:type="pct"/>
            <w:shd w:val="clear" w:color="auto" w:fill="auto"/>
            <w:vAlign w:val="center"/>
          </w:tcPr>
          <w:p w14:paraId="4EA3BC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支持桌面云平台可扩展、可管理虚拟基础架构，支持新加入服务器与原物理节点服务器组成集群并接管相应业务。</w:t>
            </w:r>
          </w:p>
        </w:tc>
      </w:tr>
      <w:tr w14:paraId="53C5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139A4D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504F5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查询筛选</w:t>
            </w:r>
          </w:p>
        </w:tc>
        <w:tc>
          <w:tcPr>
            <w:tcW w:w="4050" w:type="pct"/>
            <w:shd w:val="clear" w:color="auto" w:fill="auto"/>
            <w:vAlign w:val="center"/>
          </w:tcPr>
          <w:p w14:paraId="24F8E1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支持灵活的查询筛选功能，根据虚拟机名称、所属用户（组）、Agent版本、运行状态、登录状态、分配状态、登录用户、实际IP、操作系统版本等条件筛选符合要求的虚拟桌面，并支持导出功能。</w:t>
            </w:r>
          </w:p>
        </w:tc>
      </w:tr>
      <w:tr w14:paraId="317D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79C617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10F47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统计报表</w:t>
            </w:r>
          </w:p>
        </w:tc>
        <w:tc>
          <w:tcPr>
            <w:tcW w:w="4050" w:type="pct"/>
            <w:shd w:val="clear" w:color="auto" w:fill="auto"/>
            <w:vAlign w:val="center"/>
          </w:tcPr>
          <w:p w14:paraId="6F2E7B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支持提供详尽的报表功能，支持在线人数的趋势图、用户使用时间、指定时间段内未使用的虚拟机、用户登录信息，并支持数据导出。</w:t>
            </w:r>
          </w:p>
        </w:tc>
      </w:tr>
      <w:tr w14:paraId="7E37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83CBC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4F5DE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虚拟机定时开/关机</w:t>
            </w:r>
          </w:p>
        </w:tc>
        <w:tc>
          <w:tcPr>
            <w:tcW w:w="4050" w:type="pct"/>
            <w:shd w:val="clear" w:color="auto" w:fill="auto"/>
            <w:vAlign w:val="center"/>
          </w:tcPr>
          <w:p w14:paraId="100781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支持配置虚拟机开关机计划，虚拟机根据计划在特定时间自动开/关。</w:t>
            </w:r>
          </w:p>
        </w:tc>
      </w:tr>
      <w:tr w14:paraId="7628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471022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用户体验要求</w:t>
            </w:r>
          </w:p>
        </w:tc>
        <w:tc>
          <w:tcPr>
            <w:tcW w:w="705" w:type="pct"/>
            <w:shd w:val="clear" w:color="auto" w:fill="auto"/>
            <w:vAlign w:val="center"/>
          </w:tcPr>
          <w:p w14:paraId="01D24F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双屏显示</w:t>
            </w:r>
          </w:p>
        </w:tc>
        <w:tc>
          <w:tcPr>
            <w:tcW w:w="4050" w:type="pct"/>
            <w:shd w:val="clear" w:color="auto" w:fill="auto"/>
            <w:vAlign w:val="center"/>
          </w:tcPr>
          <w:p w14:paraId="2B3EC3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支持单个云桌面双屏显示的功能。</w:t>
            </w:r>
          </w:p>
        </w:tc>
      </w:tr>
      <w:tr w14:paraId="3EB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2B6806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63F75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多桌面快速切换</w:t>
            </w:r>
          </w:p>
        </w:tc>
        <w:tc>
          <w:tcPr>
            <w:tcW w:w="4050" w:type="pct"/>
            <w:shd w:val="clear" w:color="auto" w:fill="auto"/>
            <w:vAlign w:val="center"/>
          </w:tcPr>
          <w:p w14:paraId="7A3962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支持用户同时登陆两个云桌面，可进行快速切换，可便捷的进行云桌面和终端设备自有桌面的切换。</w:t>
            </w:r>
          </w:p>
        </w:tc>
      </w:tr>
      <w:tr w14:paraId="4ED3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CA756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4DA0AE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登录页面个性化</w:t>
            </w:r>
          </w:p>
        </w:tc>
        <w:tc>
          <w:tcPr>
            <w:tcW w:w="4050" w:type="pct"/>
            <w:shd w:val="clear" w:color="auto" w:fill="auto"/>
            <w:vAlign w:val="center"/>
          </w:tcPr>
          <w:p w14:paraId="5BCF37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支持对登录页面及客户端运行界面进行自定义图标或文字设置。</w:t>
            </w:r>
          </w:p>
        </w:tc>
      </w:tr>
      <w:tr w14:paraId="0600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56FDAC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34257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★自助维护</w:t>
            </w:r>
          </w:p>
        </w:tc>
        <w:tc>
          <w:tcPr>
            <w:tcW w:w="4050" w:type="pct"/>
            <w:shd w:val="clear" w:color="auto" w:fill="auto"/>
            <w:vAlign w:val="center"/>
          </w:tcPr>
          <w:p w14:paraId="2C4BD5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支持用户自行对虚拟桌面进行重启或关机等电源管理操作及快照创建或快照还原操，支持对网络连通性进行检测。</w:t>
            </w:r>
          </w:p>
        </w:tc>
      </w:tr>
      <w:tr w14:paraId="620E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57F513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125B4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显示网络状态</w:t>
            </w:r>
          </w:p>
        </w:tc>
        <w:tc>
          <w:tcPr>
            <w:tcW w:w="4050" w:type="pct"/>
            <w:shd w:val="clear" w:color="auto" w:fill="auto"/>
            <w:vAlign w:val="center"/>
          </w:tcPr>
          <w:p w14:paraId="77A08C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支持用户实时查看网络状态，用于判断连接网络是否正常。</w:t>
            </w:r>
          </w:p>
        </w:tc>
      </w:tr>
      <w:tr w14:paraId="515B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232670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5C3B1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支持虚拟应用访问</w:t>
            </w:r>
          </w:p>
        </w:tc>
        <w:tc>
          <w:tcPr>
            <w:tcW w:w="4050" w:type="pct"/>
            <w:shd w:val="clear" w:color="auto" w:fill="auto"/>
            <w:vAlign w:val="center"/>
          </w:tcPr>
          <w:p w14:paraId="765958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支持批量发布虚拟应用，并指定登录用户或用户组，用户无需登录桌面并且不通过微软RDP协议，即可通过WEB直接访问发布给自己的虚拟应用。</w:t>
            </w:r>
          </w:p>
        </w:tc>
      </w:tr>
      <w:tr w14:paraId="1FA8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05E80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5836D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支持云桌面使用本地应用</w:t>
            </w:r>
          </w:p>
        </w:tc>
        <w:tc>
          <w:tcPr>
            <w:tcW w:w="4050" w:type="pct"/>
            <w:shd w:val="clear" w:color="auto" w:fill="auto"/>
            <w:vAlign w:val="center"/>
          </w:tcPr>
          <w:p w14:paraId="784D1A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云桌面具备将终端或PC本地操作系统的应用，通过协议穿透到云桌面上使用的能力，本地穿透的应用在云桌面上使用方式与其他应用没有差异。</w:t>
            </w:r>
          </w:p>
        </w:tc>
      </w:tr>
      <w:tr w14:paraId="36BD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58AAF2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C93BE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★瘦客户端</w:t>
            </w:r>
          </w:p>
        </w:tc>
        <w:tc>
          <w:tcPr>
            <w:tcW w:w="4050" w:type="pct"/>
            <w:shd w:val="clear" w:color="auto" w:fill="auto"/>
            <w:vAlign w:val="center"/>
          </w:tcPr>
          <w:p w14:paraId="01D7BF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支持用户可选择打开瘦客户端电源就可以直接登陆和使用虚拟桌面</w:t>
            </w:r>
          </w:p>
        </w:tc>
      </w:tr>
      <w:tr w14:paraId="44C9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5627F7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安全性要求</w:t>
            </w:r>
          </w:p>
        </w:tc>
        <w:tc>
          <w:tcPr>
            <w:tcW w:w="705" w:type="pct"/>
            <w:shd w:val="clear" w:color="auto" w:fill="auto"/>
            <w:vAlign w:val="center"/>
          </w:tcPr>
          <w:p w14:paraId="30449F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系统安全</w:t>
            </w:r>
          </w:p>
        </w:tc>
        <w:tc>
          <w:tcPr>
            <w:tcW w:w="4050" w:type="pct"/>
            <w:shd w:val="clear" w:color="auto" w:fill="auto"/>
            <w:vAlign w:val="center"/>
          </w:tcPr>
          <w:p w14:paraId="68FA78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支持桌面云管理平台及内置服务均集成部署在安全加固的云桌面系统之上。</w:t>
            </w:r>
          </w:p>
        </w:tc>
      </w:tr>
      <w:tr w14:paraId="44B6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73A713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9B09C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用户名密码安全策略配置</w:t>
            </w:r>
          </w:p>
        </w:tc>
        <w:tc>
          <w:tcPr>
            <w:tcW w:w="4050" w:type="pct"/>
            <w:shd w:val="clear" w:color="auto" w:fill="auto"/>
            <w:vAlign w:val="center"/>
          </w:tcPr>
          <w:p w14:paraId="38C339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支持用户名密码安全策略配置，支持设置密码长度、复杂度、有效期、首次登陆强制修改，密码到期强制修改等。支持设置密码到期自动提醒功能。</w:t>
            </w:r>
          </w:p>
        </w:tc>
      </w:tr>
      <w:tr w14:paraId="14A4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0A9D37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CB918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双因素认证</w:t>
            </w:r>
          </w:p>
        </w:tc>
        <w:tc>
          <w:tcPr>
            <w:tcW w:w="4050" w:type="pct"/>
            <w:shd w:val="clear" w:color="auto" w:fill="auto"/>
            <w:vAlign w:val="center"/>
          </w:tcPr>
          <w:p w14:paraId="49B352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支持根据招标人需求开发启用双因子认证功能，提升入口安全性。包括但不限于数字证书UKey、动态令牌、手机动态码、扫描二维码等。</w:t>
            </w:r>
          </w:p>
        </w:tc>
      </w:tr>
      <w:tr w14:paraId="7DE4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55807F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2AB19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防暴力破解</w:t>
            </w:r>
          </w:p>
        </w:tc>
        <w:tc>
          <w:tcPr>
            <w:tcW w:w="4050" w:type="pct"/>
            <w:shd w:val="clear" w:color="auto" w:fill="auto"/>
            <w:vAlign w:val="center"/>
          </w:tcPr>
          <w:p w14:paraId="4C54D9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支持防暴力破解登录功能，支持图形验证码，支持登录失败处理功能，支持限制登录次数、频率和超出阈值锁定等。</w:t>
            </w:r>
          </w:p>
        </w:tc>
      </w:tr>
      <w:tr w14:paraId="2523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2027B8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F1DEC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屏幕水印功能</w:t>
            </w:r>
          </w:p>
        </w:tc>
        <w:tc>
          <w:tcPr>
            <w:tcW w:w="4050" w:type="pct"/>
            <w:shd w:val="clear" w:color="auto" w:fill="auto"/>
            <w:vAlign w:val="center"/>
          </w:tcPr>
          <w:p w14:paraId="62B8C5C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支持安全水印，并可在水印配置页面进行设置及效果预览。支持自定义水印内容，可配置字体颜色、透明度、字体大小、倾斜度、当前登录的用户和桌面IP地址等。</w:t>
            </w:r>
          </w:p>
        </w:tc>
      </w:tr>
      <w:tr w14:paraId="74C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6B433A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DB312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分级分权管理模式</w:t>
            </w:r>
          </w:p>
        </w:tc>
        <w:tc>
          <w:tcPr>
            <w:tcW w:w="4050" w:type="pct"/>
            <w:shd w:val="clear" w:color="auto" w:fill="auto"/>
            <w:vAlign w:val="center"/>
          </w:tcPr>
          <w:p w14:paraId="4B989F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支持集中管理模式和三员分立的管理模式；集中管理模式可以设置超级管理员，获取所有管理权限；三员分立模式由系统管理员、安全管理员、安全审计员组成，分别拥有不同管理权限，无超级管理员。</w:t>
            </w:r>
          </w:p>
        </w:tc>
      </w:tr>
      <w:tr w14:paraId="1149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E8F7D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75A68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日志审计</w:t>
            </w:r>
          </w:p>
        </w:tc>
        <w:tc>
          <w:tcPr>
            <w:tcW w:w="4050" w:type="pct"/>
            <w:shd w:val="clear" w:color="auto" w:fill="auto"/>
            <w:vAlign w:val="center"/>
          </w:tcPr>
          <w:p w14:paraId="27E6DB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支持管理记录所有用户的登录记录，包括登录账号、终端IP地址、登录时间等，并支持信息导出。支持记录管理员的全部操作，支持安全审计员查看和导出。</w:t>
            </w:r>
          </w:p>
        </w:tc>
      </w:tr>
      <w:tr w14:paraId="78E3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B6124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549DA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支持国密SM4加密</w:t>
            </w:r>
          </w:p>
        </w:tc>
        <w:tc>
          <w:tcPr>
            <w:tcW w:w="4050" w:type="pct"/>
            <w:shd w:val="clear" w:color="auto" w:fill="auto"/>
            <w:vAlign w:val="center"/>
          </w:tcPr>
          <w:p w14:paraId="76FDD3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为确保云桌面协议连接过程的安全性，要求对协议连接过程的核心的交互信息，如桌面登陆的用户名和密码采用基于国密SM4的加密算法。</w:t>
            </w:r>
          </w:p>
        </w:tc>
      </w:tr>
      <w:tr w14:paraId="058E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91C04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0D92CE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安全事件记录</w:t>
            </w:r>
          </w:p>
        </w:tc>
        <w:tc>
          <w:tcPr>
            <w:tcW w:w="4050" w:type="pct"/>
            <w:shd w:val="clear" w:color="auto" w:fill="auto"/>
            <w:vAlign w:val="center"/>
          </w:tcPr>
          <w:p w14:paraId="0BA2DB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支持记录系统相关安全事件，包括但不限于安全事件的主体、客体、时间、类型和结果等信息。</w:t>
            </w:r>
          </w:p>
        </w:tc>
      </w:tr>
      <w:tr w14:paraId="3F52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044233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1FF22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终端准入控制</w:t>
            </w:r>
          </w:p>
        </w:tc>
        <w:tc>
          <w:tcPr>
            <w:tcW w:w="4050" w:type="pct"/>
            <w:shd w:val="clear" w:color="auto" w:fill="auto"/>
            <w:vAlign w:val="center"/>
          </w:tcPr>
          <w:p w14:paraId="533AF1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支持终端准入控制功能，限制终端设备访问桌面云，特定用户仅能在特定IP地址范围、终端设备硬件特征码和一定时间范围访问云桌面。</w:t>
            </w:r>
          </w:p>
        </w:tc>
      </w:tr>
      <w:tr w14:paraId="6CB7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13BD01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10EF8A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空闲会话限制</w:t>
            </w:r>
          </w:p>
        </w:tc>
        <w:tc>
          <w:tcPr>
            <w:tcW w:w="4050" w:type="pct"/>
            <w:shd w:val="clear" w:color="auto" w:fill="auto"/>
            <w:vAlign w:val="center"/>
          </w:tcPr>
          <w:p w14:paraId="0FCF6E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支持管理员自定义超时自动锁屏、自动注销、断开、重启、关闭虚拟机功能，防止维持长时间不活动的会话。</w:t>
            </w:r>
          </w:p>
        </w:tc>
      </w:tr>
      <w:tr w14:paraId="3A90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612405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230F7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审计记录保护</w:t>
            </w:r>
          </w:p>
        </w:tc>
        <w:tc>
          <w:tcPr>
            <w:tcW w:w="4050" w:type="pct"/>
            <w:shd w:val="clear" w:color="auto" w:fill="auto"/>
            <w:vAlign w:val="center"/>
          </w:tcPr>
          <w:p w14:paraId="732E3F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支持审计记录不被破坏或非授权访问以及防止审计记录丢失等，无法单独中断审计进程，无法删除、修改或覆盖审计记录。</w:t>
            </w:r>
          </w:p>
        </w:tc>
      </w:tr>
      <w:tr w14:paraId="5516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4F9E8E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0715EA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外网接入</w:t>
            </w:r>
          </w:p>
        </w:tc>
        <w:tc>
          <w:tcPr>
            <w:tcW w:w="4050" w:type="pct"/>
            <w:shd w:val="clear" w:color="auto" w:fill="auto"/>
            <w:vAlign w:val="center"/>
          </w:tcPr>
          <w:p w14:paraId="0B008E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支持配置用户是否可以通过外网连接桌面。</w:t>
            </w:r>
          </w:p>
        </w:tc>
      </w:tr>
      <w:tr w14:paraId="1E7F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7D5EAA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可靠性要求</w:t>
            </w:r>
          </w:p>
        </w:tc>
        <w:tc>
          <w:tcPr>
            <w:tcW w:w="705" w:type="pct"/>
            <w:shd w:val="clear" w:color="auto" w:fill="auto"/>
            <w:vAlign w:val="center"/>
          </w:tcPr>
          <w:p w14:paraId="733ADD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高可用</w:t>
            </w:r>
          </w:p>
        </w:tc>
        <w:tc>
          <w:tcPr>
            <w:tcW w:w="4050" w:type="pct"/>
            <w:shd w:val="clear" w:color="auto" w:fill="auto"/>
            <w:vAlign w:val="center"/>
          </w:tcPr>
          <w:p w14:paraId="48CFF3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支持HA，当设备出现故障后，虚拟机能自动进行故障迁移。桌面管理组件支持HA，管理组件无单点，单点故障不影响业务，并且管理组件故障后可自恢复。</w:t>
            </w:r>
          </w:p>
        </w:tc>
      </w:tr>
      <w:tr w14:paraId="0F46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423D04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970A3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自动备份</w:t>
            </w:r>
          </w:p>
        </w:tc>
        <w:tc>
          <w:tcPr>
            <w:tcW w:w="4050" w:type="pct"/>
            <w:shd w:val="clear" w:color="auto" w:fill="auto"/>
            <w:vAlign w:val="center"/>
          </w:tcPr>
          <w:p w14:paraId="55AB43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支持管理平台关键信息备份，包括数据库、版本信息和配置文件等，当系统故障时，可通过历史备份数据对当前的系统进行数据和配置文件的还原。</w:t>
            </w:r>
          </w:p>
        </w:tc>
      </w:tr>
      <w:tr w14:paraId="4486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261E69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CDBD8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告警通知</w:t>
            </w:r>
          </w:p>
        </w:tc>
        <w:tc>
          <w:tcPr>
            <w:tcW w:w="4050" w:type="pct"/>
            <w:shd w:val="clear" w:color="auto" w:fill="auto"/>
            <w:vAlign w:val="center"/>
          </w:tcPr>
          <w:p w14:paraId="72D501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支持当主机、虚拟机等CPU利用率、内存利用率、磁盘利用率或主机、虚拟机的磁盘I/O等达到预设值的阈值时，触发相应告警，将指定的告警信息以邮件方式发送给指定接收邮箱。</w:t>
            </w:r>
          </w:p>
        </w:tc>
      </w:tr>
      <w:tr w14:paraId="24B5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431CCD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7A5B7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会话保持</w:t>
            </w:r>
          </w:p>
        </w:tc>
        <w:tc>
          <w:tcPr>
            <w:tcW w:w="4050" w:type="pct"/>
            <w:shd w:val="clear" w:color="auto" w:fill="auto"/>
            <w:vAlign w:val="center"/>
          </w:tcPr>
          <w:p w14:paraId="6F1CB1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支持桌面会话保持功能，在多桌面切换、更换不同终端接入等情况下，用户重新登录后不会影响原先的桌面操作行为。</w:t>
            </w:r>
          </w:p>
        </w:tc>
      </w:tr>
      <w:tr w14:paraId="28F3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34B25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6347C3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一键检测</w:t>
            </w:r>
          </w:p>
        </w:tc>
        <w:tc>
          <w:tcPr>
            <w:tcW w:w="4050" w:type="pct"/>
            <w:shd w:val="clear" w:color="auto" w:fill="auto"/>
            <w:vAlign w:val="center"/>
          </w:tcPr>
          <w:p w14:paraId="4C4809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支持管理员对服务器平台的状态进行检测与监控，并可将监控报表导出，实现日常系统维护与巡检。</w:t>
            </w:r>
          </w:p>
        </w:tc>
      </w:tr>
      <w:tr w14:paraId="675B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72BBB4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5DF47D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回收站</w:t>
            </w:r>
          </w:p>
        </w:tc>
        <w:tc>
          <w:tcPr>
            <w:tcW w:w="4050" w:type="pct"/>
            <w:shd w:val="clear" w:color="auto" w:fill="auto"/>
            <w:vAlign w:val="center"/>
          </w:tcPr>
          <w:p w14:paraId="017914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支持虚拟机回收站功能，避免误操作导致虚拟机数据丢失，当虚拟机删除后，会自动进入回收站，支持恢复到原位置，可设置虚拟机回收保存期</w:t>
            </w:r>
          </w:p>
        </w:tc>
      </w:tr>
      <w:tr w14:paraId="1FBE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restart"/>
            <w:shd w:val="clear" w:color="auto" w:fill="auto"/>
            <w:vAlign w:val="center"/>
          </w:tcPr>
          <w:p w14:paraId="543100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数据流管控要求</w:t>
            </w:r>
          </w:p>
        </w:tc>
        <w:tc>
          <w:tcPr>
            <w:tcW w:w="705" w:type="pct"/>
            <w:shd w:val="clear" w:color="auto" w:fill="auto"/>
            <w:vAlign w:val="center"/>
          </w:tcPr>
          <w:p w14:paraId="13167F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磁盘映射</w:t>
            </w:r>
          </w:p>
        </w:tc>
        <w:tc>
          <w:tcPr>
            <w:tcW w:w="4050" w:type="pct"/>
            <w:shd w:val="clear" w:color="auto" w:fill="auto"/>
            <w:vAlign w:val="center"/>
          </w:tcPr>
          <w:p w14:paraId="6F1D11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支持磁盘映射管控，可控制是否允许本地磁盘映射至云桌面，可禁止映射。</w:t>
            </w:r>
          </w:p>
        </w:tc>
      </w:tr>
      <w:tr w14:paraId="7C0D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690C70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FCD00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U盘访问控制</w:t>
            </w:r>
          </w:p>
        </w:tc>
        <w:tc>
          <w:tcPr>
            <w:tcW w:w="4050" w:type="pct"/>
            <w:shd w:val="clear" w:color="auto" w:fill="auto"/>
            <w:vAlign w:val="center"/>
          </w:tcPr>
          <w:p w14:paraId="2C523C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支持U盘到虚拟桌面双向拷贝管控，可控制U盘的只读和读写权限，可控制是否允许本地桌面和云桌面进行拷贝，可禁止拷贝。</w:t>
            </w:r>
          </w:p>
        </w:tc>
      </w:tr>
      <w:tr w14:paraId="0A08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1BADF50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2FC49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剪贴板访问控制</w:t>
            </w:r>
          </w:p>
        </w:tc>
        <w:tc>
          <w:tcPr>
            <w:tcW w:w="4050" w:type="pct"/>
            <w:shd w:val="clear" w:color="auto" w:fill="auto"/>
            <w:vAlign w:val="center"/>
          </w:tcPr>
          <w:p w14:paraId="2DA15A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支持剪贴板访问控制，可控制本地桌面和云桌面之间数据访问，可禁止访问。</w:t>
            </w:r>
          </w:p>
        </w:tc>
      </w:tr>
      <w:tr w14:paraId="47D5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43" w:type="pct"/>
            <w:vMerge w:val="continue"/>
            <w:shd w:val="clear" w:color="auto" w:fill="auto"/>
            <w:vAlign w:val="center"/>
          </w:tcPr>
          <w:p w14:paraId="7F6EB4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345B6B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终端准入</w:t>
            </w:r>
          </w:p>
        </w:tc>
        <w:tc>
          <w:tcPr>
            <w:tcW w:w="4050" w:type="pct"/>
            <w:shd w:val="clear" w:color="auto" w:fill="auto"/>
            <w:vAlign w:val="center"/>
          </w:tcPr>
          <w:p w14:paraId="5707D3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支持设置终端准入控制功能，支持配置终端和用户绑定，只有绑定的终端才能连接对应用户的桌面，支持配置指定终端型号、操作系统、IP和时间才能登录桌面。</w:t>
            </w:r>
          </w:p>
        </w:tc>
      </w:tr>
      <w:tr w14:paraId="7F30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shd w:val="clear" w:color="auto" w:fill="auto"/>
            <w:vAlign w:val="center"/>
          </w:tcPr>
          <w:p w14:paraId="3AECFE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p>
        </w:tc>
        <w:tc>
          <w:tcPr>
            <w:tcW w:w="705" w:type="pct"/>
            <w:shd w:val="clear" w:color="auto" w:fill="auto"/>
            <w:vAlign w:val="center"/>
          </w:tcPr>
          <w:p w14:paraId="2AA503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云桌面数据共享</w:t>
            </w:r>
          </w:p>
        </w:tc>
        <w:tc>
          <w:tcPr>
            <w:tcW w:w="4050" w:type="pct"/>
            <w:shd w:val="clear" w:color="auto" w:fill="auto"/>
            <w:vAlign w:val="center"/>
          </w:tcPr>
          <w:p w14:paraId="2D1AFF0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便于云桌面用户对文档数据进行管理，支持云桌面用户对文档进行点对点分享和群组分享，同时文档可批量分享给多个用户或用户组，可设置不同用户的操作权限，支持通过网络链接分享文档给外部用户，可通过不同文件夹快速分类查看用户对外分享的文档、收到的分享文档。</w:t>
            </w:r>
          </w:p>
        </w:tc>
      </w:tr>
    </w:tbl>
    <w:p w14:paraId="516B2D3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color w:val="auto"/>
          <w:sz w:val="24"/>
        </w:rPr>
      </w:pPr>
      <w:r>
        <w:rPr>
          <w:rFonts w:hint="eastAsia"/>
          <w:color w:val="auto"/>
          <w:sz w:val="24"/>
        </w:rPr>
        <w:t>2、</w:t>
      </w:r>
      <w:r>
        <w:rPr>
          <w:rFonts w:hint="eastAsia" w:cs="宋体"/>
          <w:color w:val="auto"/>
          <w:kern w:val="0"/>
          <w:sz w:val="24"/>
          <w:szCs w:val="21"/>
        </w:rPr>
        <w:t>云桌面服务部署环境要求</w:t>
      </w:r>
    </w:p>
    <w:p w14:paraId="0D0BF0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color w:val="auto"/>
          <w:sz w:val="24"/>
        </w:rPr>
      </w:pPr>
      <w:r>
        <w:rPr>
          <w:rFonts w:hint="eastAsia"/>
          <w:color w:val="auto"/>
          <w:sz w:val="24"/>
        </w:rPr>
        <w:t>为保证</w:t>
      </w:r>
      <w:r>
        <w:rPr>
          <w:rFonts w:hint="eastAsia" w:cs="宋体"/>
          <w:color w:val="auto"/>
          <w:kern w:val="0"/>
          <w:sz w:val="24"/>
          <w:szCs w:val="21"/>
        </w:rPr>
        <w:t>云桌面服务正常、安全使用，要求投标人提供云桌面服务的系统部署环境至少满足以下要求：</w:t>
      </w:r>
    </w:p>
    <w:tbl>
      <w:tblPr>
        <w:tblStyle w:val="22"/>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1007"/>
        <w:gridCol w:w="1083"/>
        <w:gridCol w:w="5845"/>
        <w:gridCol w:w="855"/>
      </w:tblGrid>
      <w:tr w14:paraId="648A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18" w:type="dxa"/>
            <w:shd w:val="clear" w:color="auto" w:fill="auto"/>
            <w:vAlign w:val="center"/>
          </w:tcPr>
          <w:p w14:paraId="2D4491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序号</w:t>
            </w:r>
          </w:p>
        </w:tc>
        <w:tc>
          <w:tcPr>
            <w:tcW w:w="1007" w:type="dxa"/>
            <w:shd w:val="clear" w:color="auto" w:fill="auto"/>
            <w:vAlign w:val="center"/>
          </w:tcPr>
          <w:p w14:paraId="1DA8BB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类别</w:t>
            </w:r>
          </w:p>
        </w:tc>
        <w:tc>
          <w:tcPr>
            <w:tcW w:w="1083" w:type="dxa"/>
            <w:shd w:val="clear" w:color="auto" w:fill="auto"/>
            <w:vAlign w:val="center"/>
          </w:tcPr>
          <w:p w14:paraId="07911E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名称</w:t>
            </w:r>
          </w:p>
        </w:tc>
        <w:tc>
          <w:tcPr>
            <w:tcW w:w="5845" w:type="dxa"/>
            <w:shd w:val="clear" w:color="auto" w:fill="auto"/>
            <w:noWrap/>
            <w:vAlign w:val="center"/>
          </w:tcPr>
          <w:p w14:paraId="42AD8C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服务内容</w:t>
            </w:r>
          </w:p>
        </w:tc>
        <w:tc>
          <w:tcPr>
            <w:tcW w:w="855" w:type="dxa"/>
            <w:shd w:val="clear" w:color="auto" w:fill="auto"/>
            <w:vAlign w:val="center"/>
          </w:tcPr>
          <w:p w14:paraId="4B0E0F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数量</w:t>
            </w:r>
          </w:p>
        </w:tc>
      </w:tr>
      <w:tr w14:paraId="79AD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restart"/>
            <w:shd w:val="clear" w:color="auto" w:fill="auto"/>
            <w:vAlign w:val="center"/>
          </w:tcPr>
          <w:p w14:paraId="661C88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1007" w:type="dxa"/>
            <w:vMerge w:val="restart"/>
            <w:shd w:val="clear" w:color="auto" w:fill="auto"/>
            <w:vAlign w:val="center"/>
          </w:tcPr>
          <w:p w14:paraId="697ADC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专网云桌面部署环境服务</w:t>
            </w:r>
          </w:p>
        </w:tc>
        <w:tc>
          <w:tcPr>
            <w:tcW w:w="1083" w:type="dxa"/>
            <w:shd w:val="clear" w:color="auto" w:fill="auto"/>
            <w:vAlign w:val="center"/>
          </w:tcPr>
          <w:p w14:paraId="620565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管理节点</w:t>
            </w:r>
          </w:p>
        </w:tc>
        <w:tc>
          <w:tcPr>
            <w:tcW w:w="5845" w:type="dxa"/>
            <w:shd w:val="clear" w:color="auto" w:fill="auto"/>
            <w:vAlign w:val="center"/>
          </w:tcPr>
          <w:p w14:paraId="37642A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所占机房环境服务≤2U；</w:t>
            </w:r>
          </w:p>
          <w:p w14:paraId="1F5F14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CPU：≥2颗处理器，主频≥2.6GHz，单CPU核数≥32c，需符合安全可靠测评要求；</w:t>
            </w:r>
          </w:p>
          <w:p w14:paraId="2A907B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内存：≥8*32GB；</w:t>
            </w:r>
          </w:p>
          <w:p w14:paraId="59A8FE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系统盘：≥2*1.8TB企业级存储；</w:t>
            </w:r>
          </w:p>
          <w:p w14:paraId="3E20C6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数据盘1：≥2*8TB企业级存储；</w:t>
            </w:r>
          </w:p>
          <w:p w14:paraId="4A25B4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数据盘2：≥2*960GB SSD存储；</w:t>
            </w:r>
          </w:p>
          <w:p w14:paraId="20171B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RAID卡：需支持RAID0、RAID1、RAID5、RAID6、RAID10等以及磁盘直通none-raid，2G cache，提供掉电保护；</w:t>
            </w:r>
          </w:p>
          <w:p w14:paraId="44886FA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包含≥2*双端口10GE网卡，含多模光模块；</w:t>
            </w:r>
          </w:p>
        </w:tc>
        <w:tc>
          <w:tcPr>
            <w:tcW w:w="855" w:type="dxa"/>
            <w:shd w:val="clear" w:color="auto" w:fill="auto"/>
            <w:vAlign w:val="center"/>
          </w:tcPr>
          <w:p w14:paraId="1D1DA6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3套</w:t>
            </w:r>
          </w:p>
        </w:tc>
      </w:tr>
      <w:tr w14:paraId="79FF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56BCCA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306A3F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214285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计算节点</w:t>
            </w:r>
          </w:p>
        </w:tc>
        <w:tc>
          <w:tcPr>
            <w:tcW w:w="5845" w:type="dxa"/>
            <w:shd w:val="clear" w:color="auto" w:fill="auto"/>
            <w:vAlign w:val="center"/>
          </w:tcPr>
          <w:p w14:paraId="2B3DAB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CPU：≥2颗处理器，主频≥2.6GHz，单CPU核数≥64c，需符合安全可靠测评要求；</w:t>
            </w:r>
          </w:p>
          <w:p w14:paraId="18F743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内存：≥24*32GB；</w:t>
            </w:r>
          </w:p>
          <w:p w14:paraId="7CBFC4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系统盘：≥2*960GB SSD存储；</w:t>
            </w:r>
          </w:p>
          <w:p w14:paraId="307197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数据盘：≥2*1.92TB（PCIE NVMe SSD）存储，</w:t>
            </w:r>
          </w:p>
          <w:p w14:paraId="2D0EFC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≥8*8TB企业级存储；</w:t>
            </w:r>
          </w:p>
          <w:p w14:paraId="207199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RAID卡：需支持RAID0、RAID1、RAID5、RAID6、RAID10等以及磁盘直通none-raid，2G cache，提供掉电保护；</w:t>
            </w:r>
          </w:p>
          <w:p w14:paraId="25A524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网卡：≥10GE（双口) *2（满配多模光模块），支持DPDK、RDMA；</w:t>
            </w:r>
          </w:p>
          <w:p w14:paraId="0C4AD73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具备双电源；</w:t>
            </w:r>
          </w:p>
        </w:tc>
        <w:tc>
          <w:tcPr>
            <w:tcW w:w="855" w:type="dxa"/>
            <w:shd w:val="clear" w:color="auto" w:fill="auto"/>
            <w:vAlign w:val="center"/>
          </w:tcPr>
          <w:p w14:paraId="6B4BEB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11套</w:t>
            </w:r>
          </w:p>
        </w:tc>
      </w:tr>
      <w:tr w14:paraId="6682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1B0239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669634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7C233E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万兆交换机</w:t>
            </w:r>
          </w:p>
        </w:tc>
        <w:tc>
          <w:tcPr>
            <w:tcW w:w="5845" w:type="dxa"/>
            <w:shd w:val="clear" w:color="auto" w:fill="auto"/>
            <w:noWrap/>
            <w:vAlign w:val="center"/>
          </w:tcPr>
          <w:p w14:paraId="1105320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≥48端口万兆光口（含48个万兆光模块）</w:t>
            </w:r>
          </w:p>
          <w:p w14:paraId="156685A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≥6端口40G QSFP+（含6*40GE多模模块）</w:t>
            </w:r>
          </w:p>
        </w:tc>
        <w:tc>
          <w:tcPr>
            <w:tcW w:w="855" w:type="dxa"/>
            <w:shd w:val="clear" w:color="auto" w:fill="auto"/>
            <w:vAlign w:val="center"/>
          </w:tcPr>
          <w:p w14:paraId="7169AE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2台</w:t>
            </w:r>
          </w:p>
        </w:tc>
      </w:tr>
      <w:tr w14:paraId="591E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4B5E5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4DFA6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12CB27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千兆交换机</w:t>
            </w:r>
          </w:p>
        </w:tc>
        <w:tc>
          <w:tcPr>
            <w:tcW w:w="5845" w:type="dxa"/>
            <w:shd w:val="clear" w:color="auto" w:fill="auto"/>
            <w:vAlign w:val="center"/>
          </w:tcPr>
          <w:p w14:paraId="3C2618C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≥48个10/100/1000Base-T以太网端口</w:t>
            </w:r>
          </w:p>
          <w:p w14:paraId="447D46B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≥4个万兆SFP+接口（含4个万兆光模块）</w:t>
            </w:r>
          </w:p>
        </w:tc>
        <w:tc>
          <w:tcPr>
            <w:tcW w:w="855" w:type="dxa"/>
            <w:shd w:val="clear" w:color="auto" w:fill="auto"/>
            <w:vAlign w:val="center"/>
          </w:tcPr>
          <w:p w14:paraId="788723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1台</w:t>
            </w:r>
          </w:p>
        </w:tc>
      </w:tr>
      <w:tr w14:paraId="134A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0EE184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7BFA09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611920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防火墙</w:t>
            </w:r>
          </w:p>
        </w:tc>
        <w:tc>
          <w:tcPr>
            <w:tcW w:w="5845" w:type="dxa"/>
            <w:shd w:val="clear" w:color="auto" w:fill="auto"/>
            <w:vAlign w:val="center"/>
          </w:tcPr>
          <w:p w14:paraId="2D6DB9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吞吐率：≥40Gbps</w:t>
            </w:r>
          </w:p>
          <w:p w14:paraId="2B7D1D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混合包吞吐量：≥30Gbps</w:t>
            </w:r>
          </w:p>
          <w:p w14:paraId="79C06B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每秒新增会话数：≥40万</w:t>
            </w:r>
          </w:p>
          <w:p w14:paraId="5558CD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业务板卡≥8个10GE光口</w:t>
            </w:r>
          </w:p>
        </w:tc>
        <w:tc>
          <w:tcPr>
            <w:tcW w:w="855" w:type="dxa"/>
            <w:shd w:val="clear" w:color="auto" w:fill="auto"/>
            <w:vAlign w:val="center"/>
          </w:tcPr>
          <w:p w14:paraId="6093D3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2套</w:t>
            </w:r>
          </w:p>
        </w:tc>
      </w:tr>
      <w:tr w14:paraId="37AB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restart"/>
            <w:shd w:val="clear" w:color="auto" w:fill="auto"/>
            <w:vAlign w:val="center"/>
          </w:tcPr>
          <w:p w14:paraId="6F055F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1007" w:type="dxa"/>
            <w:vMerge w:val="restart"/>
            <w:shd w:val="clear" w:color="auto" w:fill="auto"/>
            <w:vAlign w:val="center"/>
          </w:tcPr>
          <w:p w14:paraId="6C32B6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互联网云桌面部署环境服务</w:t>
            </w:r>
          </w:p>
        </w:tc>
        <w:tc>
          <w:tcPr>
            <w:tcW w:w="1083" w:type="dxa"/>
            <w:shd w:val="clear" w:color="auto" w:fill="auto"/>
            <w:vAlign w:val="center"/>
          </w:tcPr>
          <w:p w14:paraId="3E9AA7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计算节点</w:t>
            </w:r>
          </w:p>
        </w:tc>
        <w:tc>
          <w:tcPr>
            <w:tcW w:w="5845" w:type="dxa"/>
            <w:shd w:val="clear" w:color="auto" w:fill="auto"/>
            <w:vAlign w:val="center"/>
          </w:tcPr>
          <w:p w14:paraId="544291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CPU：≥2颗处理器，主频≥2.6GHz，单CPU核数≥64c，需符合安全可靠测评要求；</w:t>
            </w:r>
          </w:p>
          <w:p w14:paraId="4C817B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内存：≥24*32GB；</w:t>
            </w:r>
          </w:p>
          <w:p w14:paraId="0981C5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系统盘：≥2*960GB SSD存储；</w:t>
            </w:r>
          </w:p>
          <w:p w14:paraId="26D7BA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数据盘：≥2*1.92TB（PCIE NVMe SSD）存储，</w:t>
            </w:r>
          </w:p>
          <w:p w14:paraId="4CCED5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≥8*8TB企业级存储；</w:t>
            </w:r>
          </w:p>
          <w:p w14:paraId="04EE79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RAID卡：需支持RAID0、RAID1、RAID5、RAID6、RAID10等以及磁盘直通none-raid，2G cache，提供掉电保护；</w:t>
            </w:r>
          </w:p>
          <w:p w14:paraId="6A581C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网卡：≥10GE（双口) *2（满配多模光模块），支持DPDK、RDMA；</w:t>
            </w:r>
          </w:p>
          <w:p w14:paraId="028D842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具备双电源；</w:t>
            </w:r>
          </w:p>
        </w:tc>
        <w:tc>
          <w:tcPr>
            <w:tcW w:w="855" w:type="dxa"/>
            <w:shd w:val="clear" w:color="auto" w:fill="auto"/>
            <w:vAlign w:val="center"/>
          </w:tcPr>
          <w:p w14:paraId="414D51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4套</w:t>
            </w:r>
          </w:p>
        </w:tc>
      </w:tr>
      <w:tr w14:paraId="513C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A5FA2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18B268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5D625A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万兆交换机</w:t>
            </w:r>
          </w:p>
        </w:tc>
        <w:tc>
          <w:tcPr>
            <w:tcW w:w="5845" w:type="dxa"/>
            <w:shd w:val="clear" w:color="auto" w:fill="auto"/>
            <w:noWrap/>
            <w:vAlign w:val="center"/>
          </w:tcPr>
          <w:p w14:paraId="03F20FE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≥48端口万兆光口（含48个万兆光模块）</w:t>
            </w:r>
          </w:p>
          <w:p w14:paraId="141531F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≥6端口40G QSFP+（含6*40GE多模模块）</w:t>
            </w:r>
          </w:p>
        </w:tc>
        <w:tc>
          <w:tcPr>
            <w:tcW w:w="855" w:type="dxa"/>
            <w:shd w:val="clear" w:color="auto" w:fill="auto"/>
            <w:vAlign w:val="center"/>
          </w:tcPr>
          <w:p w14:paraId="2145EA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2台</w:t>
            </w:r>
          </w:p>
        </w:tc>
      </w:tr>
      <w:tr w14:paraId="45B4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74A6D6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7F087A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3C53AC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千兆交换机</w:t>
            </w:r>
          </w:p>
        </w:tc>
        <w:tc>
          <w:tcPr>
            <w:tcW w:w="5845" w:type="dxa"/>
            <w:shd w:val="clear" w:color="auto" w:fill="auto"/>
            <w:vAlign w:val="center"/>
          </w:tcPr>
          <w:p w14:paraId="2B0C17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≥48个10/100/1000Base-T以太网端口</w:t>
            </w:r>
          </w:p>
          <w:p w14:paraId="7032306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≥4个万兆SFP+接口（含4个万兆光模块）</w:t>
            </w:r>
          </w:p>
        </w:tc>
        <w:tc>
          <w:tcPr>
            <w:tcW w:w="855" w:type="dxa"/>
            <w:shd w:val="clear" w:color="auto" w:fill="auto"/>
            <w:vAlign w:val="center"/>
          </w:tcPr>
          <w:p w14:paraId="10F917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1台</w:t>
            </w:r>
          </w:p>
        </w:tc>
      </w:tr>
      <w:tr w14:paraId="580B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73C9BF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796D19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5291F0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防火墙</w:t>
            </w:r>
          </w:p>
        </w:tc>
        <w:tc>
          <w:tcPr>
            <w:tcW w:w="5845" w:type="dxa"/>
            <w:shd w:val="clear" w:color="auto" w:fill="auto"/>
            <w:vAlign w:val="center"/>
          </w:tcPr>
          <w:p w14:paraId="15141A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吞吐率：≥40Gbps</w:t>
            </w:r>
          </w:p>
          <w:p w14:paraId="0FB88A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混合包吞吐量：≥30Gbps</w:t>
            </w:r>
          </w:p>
          <w:p w14:paraId="6AFD18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每秒新增会话数：≥40万</w:t>
            </w:r>
          </w:p>
          <w:p w14:paraId="67C48F5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业务板卡≥8个10GE光口</w:t>
            </w:r>
          </w:p>
        </w:tc>
        <w:tc>
          <w:tcPr>
            <w:tcW w:w="855" w:type="dxa"/>
            <w:shd w:val="clear" w:color="auto" w:fill="auto"/>
            <w:vAlign w:val="center"/>
          </w:tcPr>
          <w:p w14:paraId="109C55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2套</w:t>
            </w:r>
          </w:p>
        </w:tc>
      </w:tr>
      <w:tr w14:paraId="6910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restart"/>
            <w:shd w:val="clear" w:color="auto" w:fill="auto"/>
            <w:vAlign w:val="center"/>
          </w:tcPr>
          <w:p w14:paraId="20D469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1007" w:type="dxa"/>
            <w:vMerge w:val="restart"/>
            <w:shd w:val="clear" w:color="auto" w:fill="auto"/>
            <w:vAlign w:val="center"/>
          </w:tcPr>
          <w:p w14:paraId="775EEC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专网应急云桌面部署环境服务</w:t>
            </w:r>
          </w:p>
        </w:tc>
        <w:tc>
          <w:tcPr>
            <w:tcW w:w="1083" w:type="dxa"/>
            <w:shd w:val="clear" w:color="auto" w:fill="auto"/>
            <w:vAlign w:val="center"/>
          </w:tcPr>
          <w:p w14:paraId="05FA33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计算节点</w:t>
            </w:r>
          </w:p>
        </w:tc>
        <w:tc>
          <w:tcPr>
            <w:tcW w:w="5845" w:type="dxa"/>
            <w:shd w:val="clear" w:color="auto" w:fill="auto"/>
            <w:vAlign w:val="center"/>
          </w:tcPr>
          <w:p w14:paraId="198479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CPU：≥2颗符合安全可靠测评要求的处理器，主频≥2.7GHz，单CPU核数≥32c；</w:t>
            </w:r>
          </w:p>
          <w:p w14:paraId="3FDEEF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内存：≥32GB*24；</w:t>
            </w:r>
          </w:p>
          <w:p w14:paraId="0D2032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系统盘：≥960GB SATA SSD *2；</w:t>
            </w:r>
          </w:p>
          <w:p w14:paraId="488619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 xml:space="preserve">数据盘：≥3.84TB PCIE NVMe SSD *2； </w:t>
            </w:r>
          </w:p>
          <w:p w14:paraId="202051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≥8TB 6Gbps SATA，7200rpm *10；</w:t>
            </w:r>
          </w:p>
          <w:p w14:paraId="468AD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RAID卡：Raid卡(链路支持12G,需支持RAID0、RAID1、RAID5、RAID6、RAID10等以及磁盘直通none-raid，2G cache，提供掉电保护)；</w:t>
            </w:r>
          </w:p>
          <w:p w14:paraId="3B346F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网卡：≥10GE（光口双口) *2（满配多模光模块），支持DPDK、RDMA；</w:t>
            </w:r>
          </w:p>
          <w:p w14:paraId="04D857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网卡≥1GE（电口4口）</w:t>
            </w:r>
          </w:p>
          <w:p w14:paraId="4CF4EDA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支持交流双电源；</w:t>
            </w:r>
          </w:p>
        </w:tc>
        <w:tc>
          <w:tcPr>
            <w:tcW w:w="855" w:type="dxa"/>
            <w:shd w:val="clear" w:color="auto" w:fill="auto"/>
            <w:vAlign w:val="center"/>
          </w:tcPr>
          <w:p w14:paraId="379651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7套</w:t>
            </w:r>
          </w:p>
        </w:tc>
      </w:tr>
      <w:tr w14:paraId="62A7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1AB492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07" w:type="dxa"/>
            <w:vMerge w:val="continue"/>
            <w:shd w:val="clear" w:color="auto" w:fill="auto"/>
            <w:vAlign w:val="center"/>
          </w:tcPr>
          <w:p w14:paraId="0EEF84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083" w:type="dxa"/>
            <w:shd w:val="clear" w:color="auto" w:fill="auto"/>
            <w:vAlign w:val="center"/>
          </w:tcPr>
          <w:p w14:paraId="7A99E2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万兆交换机</w:t>
            </w:r>
          </w:p>
        </w:tc>
        <w:tc>
          <w:tcPr>
            <w:tcW w:w="5845" w:type="dxa"/>
            <w:shd w:val="clear" w:color="auto" w:fill="auto"/>
            <w:noWrap/>
            <w:vAlign w:val="center"/>
          </w:tcPr>
          <w:p w14:paraId="3CD6B98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≥48端口万兆光口（含48个万兆光模块）</w:t>
            </w:r>
          </w:p>
          <w:p w14:paraId="00621F5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≥6端口40G QSFP+（含6*40GE多模模块）</w:t>
            </w:r>
          </w:p>
        </w:tc>
        <w:tc>
          <w:tcPr>
            <w:tcW w:w="855" w:type="dxa"/>
            <w:shd w:val="clear" w:color="auto" w:fill="auto"/>
            <w:vAlign w:val="center"/>
          </w:tcPr>
          <w:p w14:paraId="447063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2台</w:t>
            </w:r>
          </w:p>
        </w:tc>
      </w:tr>
    </w:tbl>
    <w:p w14:paraId="76B4BBD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rFonts w:hint="eastAsia" w:ascii="Times New Roman" w:hAnsi="Times New Roman" w:cs="Times New Roman"/>
          <w:color w:val="auto"/>
          <w:sz w:val="24"/>
        </w:rPr>
      </w:pPr>
      <w:r>
        <w:rPr>
          <w:rFonts w:hint="eastAsia" w:ascii="Times New Roman" w:hAnsi="Times New Roman" w:cs="Times New Roman"/>
          <w:color w:val="auto"/>
          <w:sz w:val="24"/>
        </w:rPr>
        <w:t>3、终端设备</w:t>
      </w:r>
    </w:p>
    <w:p w14:paraId="055BBE7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3"/>
        <w:rPr>
          <w:rFonts w:hint="eastAsia" w:ascii="Times New Roman" w:hAnsi="Times New Roman" w:cs="Times New Roman"/>
          <w:color w:val="auto"/>
          <w:sz w:val="24"/>
        </w:rPr>
      </w:pPr>
      <w:r>
        <w:rPr>
          <w:rFonts w:hint="eastAsia" w:ascii="Times New Roman" w:hAnsi="Times New Roman" w:cs="Times New Roman"/>
          <w:color w:val="auto"/>
          <w:sz w:val="24"/>
        </w:rPr>
        <w:t>投标人提供云桌面服务的终端设备1年使用权，具体设备要求如下：</w:t>
      </w:r>
    </w:p>
    <w:tbl>
      <w:tblPr>
        <w:tblStyle w:val="22"/>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936"/>
        <w:gridCol w:w="1134"/>
        <w:gridCol w:w="5855"/>
        <w:gridCol w:w="845"/>
      </w:tblGrid>
      <w:tr w14:paraId="2DC6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518" w:type="dxa"/>
            <w:shd w:val="clear" w:color="auto" w:fill="auto"/>
            <w:vAlign w:val="center"/>
          </w:tcPr>
          <w:p w14:paraId="4108F1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序号</w:t>
            </w:r>
          </w:p>
        </w:tc>
        <w:tc>
          <w:tcPr>
            <w:tcW w:w="936" w:type="dxa"/>
            <w:shd w:val="clear" w:color="auto" w:fill="auto"/>
            <w:vAlign w:val="center"/>
          </w:tcPr>
          <w:p w14:paraId="4E5076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类别</w:t>
            </w:r>
          </w:p>
        </w:tc>
        <w:tc>
          <w:tcPr>
            <w:tcW w:w="1134" w:type="dxa"/>
            <w:shd w:val="clear" w:color="auto" w:fill="auto"/>
            <w:vAlign w:val="center"/>
          </w:tcPr>
          <w:p w14:paraId="0D84A8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名称</w:t>
            </w:r>
          </w:p>
        </w:tc>
        <w:tc>
          <w:tcPr>
            <w:tcW w:w="5855" w:type="dxa"/>
            <w:shd w:val="clear" w:color="auto" w:fill="auto"/>
            <w:noWrap/>
            <w:vAlign w:val="center"/>
          </w:tcPr>
          <w:p w14:paraId="177798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服务内容</w:t>
            </w:r>
          </w:p>
        </w:tc>
        <w:tc>
          <w:tcPr>
            <w:tcW w:w="845" w:type="dxa"/>
            <w:shd w:val="clear" w:color="auto" w:fill="auto"/>
            <w:vAlign w:val="center"/>
          </w:tcPr>
          <w:p w14:paraId="0E899A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数量</w:t>
            </w:r>
          </w:p>
        </w:tc>
      </w:tr>
      <w:tr w14:paraId="2F14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restart"/>
            <w:shd w:val="clear" w:color="auto" w:fill="auto"/>
            <w:vAlign w:val="center"/>
          </w:tcPr>
          <w:p w14:paraId="7AE153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936" w:type="dxa"/>
            <w:vMerge w:val="restart"/>
            <w:shd w:val="clear" w:color="auto" w:fill="auto"/>
            <w:vAlign w:val="center"/>
          </w:tcPr>
          <w:p w14:paraId="3CAD7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专网云桌面终端服务</w:t>
            </w:r>
          </w:p>
        </w:tc>
        <w:tc>
          <w:tcPr>
            <w:tcW w:w="1134" w:type="dxa"/>
            <w:shd w:val="clear" w:color="auto" w:fill="auto"/>
            <w:vAlign w:val="center"/>
          </w:tcPr>
          <w:p w14:paraId="398059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云桌面瘦终端</w:t>
            </w:r>
          </w:p>
        </w:tc>
        <w:tc>
          <w:tcPr>
            <w:tcW w:w="5855" w:type="dxa"/>
            <w:shd w:val="clear" w:color="auto" w:fill="auto"/>
            <w:vAlign w:val="center"/>
          </w:tcPr>
          <w:p w14:paraId="68059F9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CPU：芯片需符合安全可靠测评要求，CPU≥4，主频≥2.0GHz；</w:t>
            </w:r>
          </w:p>
          <w:p w14:paraId="6C5285A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内存：≥2GB</w:t>
            </w:r>
          </w:p>
          <w:p w14:paraId="31F665A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存储：≥16GB</w:t>
            </w:r>
          </w:p>
          <w:p w14:paraId="03D8BBA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配置≥1 * USB 2.0 Type-C口、2 * USB 3.0口、6 * USB 2.0口、1 * HDMI口、1 * VGA口， 1 * 千兆RJ-45网口</w:t>
            </w:r>
          </w:p>
        </w:tc>
        <w:tc>
          <w:tcPr>
            <w:tcW w:w="845" w:type="dxa"/>
            <w:shd w:val="clear" w:color="auto" w:fill="auto"/>
            <w:vAlign w:val="center"/>
          </w:tcPr>
          <w:p w14:paraId="752EE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455套</w:t>
            </w:r>
          </w:p>
        </w:tc>
      </w:tr>
      <w:tr w14:paraId="43EC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7B994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18448B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5F55D4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无线键鼠</w:t>
            </w:r>
          </w:p>
        </w:tc>
        <w:tc>
          <w:tcPr>
            <w:tcW w:w="5855" w:type="dxa"/>
            <w:shd w:val="clear" w:color="auto" w:fill="auto"/>
            <w:vAlign w:val="center"/>
          </w:tcPr>
          <w:p w14:paraId="07D3F59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无线键鼠，至少支持USB无线连接</w:t>
            </w:r>
          </w:p>
        </w:tc>
        <w:tc>
          <w:tcPr>
            <w:tcW w:w="845" w:type="dxa"/>
            <w:shd w:val="clear" w:color="auto" w:fill="auto"/>
            <w:vAlign w:val="center"/>
          </w:tcPr>
          <w:p w14:paraId="47D01B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825套</w:t>
            </w:r>
          </w:p>
        </w:tc>
      </w:tr>
      <w:tr w14:paraId="7A4D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5F250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0872EF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4AE893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曲面显示屏</w:t>
            </w:r>
          </w:p>
        </w:tc>
        <w:tc>
          <w:tcPr>
            <w:tcW w:w="5855" w:type="dxa"/>
            <w:shd w:val="clear" w:color="auto" w:fill="auto"/>
            <w:vAlign w:val="center"/>
          </w:tcPr>
          <w:p w14:paraId="2BEF406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不小于34寸，曲面显示屏，支持1屏双电脑接入显示（PBP），配套2条HDMI线</w:t>
            </w:r>
          </w:p>
        </w:tc>
        <w:tc>
          <w:tcPr>
            <w:tcW w:w="845" w:type="dxa"/>
            <w:shd w:val="clear" w:color="auto" w:fill="auto"/>
            <w:vAlign w:val="center"/>
          </w:tcPr>
          <w:p w14:paraId="471978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500台</w:t>
            </w:r>
          </w:p>
        </w:tc>
      </w:tr>
      <w:tr w14:paraId="30E3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056655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29341D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45C9A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便携办公设备</w:t>
            </w:r>
          </w:p>
        </w:tc>
        <w:tc>
          <w:tcPr>
            <w:tcW w:w="5855" w:type="dxa"/>
            <w:shd w:val="clear" w:color="auto" w:fill="auto"/>
            <w:vAlign w:val="center"/>
          </w:tcPr>
          <w:p w14:paraId="2B0BC7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CPU：符合安全可靠测评要求，CPU≥8，主频≥3GHz；</w:t>
            </w:r>
          </w:p>
          <w:p w14:paraId="345BD22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屏幕≥14寸，内存≥8G，硬盘≥512G</w:t>
            </w:r>
          </w:p>
        </w:tc>
        <w:tc>
          <w:tcPr>
            <w:tcW w:w="845" w:type="dxa"/>
            <w:shd w:val="clear" w:color="auto" w:fill="auto"/>
            <w:vAlign w:val="center"/>
          </w:tcPr>
          <w:p w14:paraId="20D2D2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7台</w:t>
            </w:r>
          </w:p>
        </w:tc>
      </w:tr>
      <w:tr w14:paraId="33E5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40B5AF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25E573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2F4994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正版云桌面操作系统</w:t>
            </w:r>
          </w:p>
        </w:tc>
        <w:tc>
          <w:tcPr>
            <w:tcW w:w="5855" w:type="dxa"/>
            <w:shd w:val="clear" w:color="auto" w:fill="auto"/>
            <w:noWrap/>
            <w:vAlign w:val="center"/>
          </w:tcPr>
          <w:p w14:paraId="09D54C3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正版云桌面操作系统，需符合安全可靠测评要求</w:t>
            </w:r>
          </w:p>
        </w:tc>
        <w:tc>
          <w:tcPr>
            <w:tcW w:w="845" w:type="dxa"/>
            <w:shd w:val="clear" w:color="auto" w:fill="auto"/>
            <w:vAlign w:val="center"/>
          </w:tcPr>
          <w:p w14:paraId="717F5A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450套</w:t>
            </w:r>
          </w:p>
        </w:tc>
      </w:tr>
      <w:tr w14:paraId="3CE7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595D77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0B7278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08178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正版流式软件</w:t>
            </w:r>
          </w:p>
        </w:tc>
        <w:tc>
          <w:tcPr>
            <w:tcW w:w="5855" w:type="dxa"/>
            <w:shd w:val="clear" w:color="auto" w:fill="auto"/>
            <w:noWrap/>
            <w:vAlign w:val="center"/>
          </w:tcPr>
          <w:p w14:paraId="530BB70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正版流式软件，需符合安全可靠测评要求</w:t>
            </w:r>
          </w:p>
        </w:tc>
        <w:tc>
          <w:tcPr>
            <w:tcW w:w="845" w:type="dxa"/>
            <w:shd w:val="clear" w:color="auto" w:fill="auto"/>
            <w:vAlign w:val="center"/>
          </w:tcPr>
          <w:p w14:paraId="650FE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450套</w:t>
            </w:r>
          </w:p>
        </w:tc>
      </w:tr>
      <w:tr w14:paraId="7576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321FAC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3C1AA9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483687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正版版式软件</w:t>
            </w:r>
          </w:p>
        </w:tc>
        <w:tc>
          <w:tcPr>
            <w:tcW w:w="5855" w:type="dxa"/>
            <w:shd w:val="clear" w:color="auto" w:fill="auto"/>
            <w:noWrap/>
            <w:vAlign w:val="center"/>
          </w:tcPr>
          <w:p w14:paraId="6B4EFAC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正版版式软件，需符合安全可靠测评要求</w:t>
            </w:r>
          </w:p>
        </w:tc>
        <w:tc>
          <w:tcPr>
            <w:tcW w:w="845" w:type="dxa"/>
            <w:shd w:val="clear" w:color="auto" w:fill="auto"/>
            <w:vAlign w:val="center"/>
          </w:tcPr>
          <w:p w14:paraId="3AD08D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450套</w:t>
            </w:r>
          </w:p>
        </w:tc>
      </w:tr>
      <w:tr w14:paraId="15BB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restart"/>
            <w:shd w:val="clear" w:color="auto" w:fill="auto"/>
            <w:vAlign w:val="center"/>
          </w:tcPr>
          <w:p w14:paraId="302B0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w:t>
            </w:r>
          </w:p>
        </w:tc>
        <w:tc>
          <w:tcPr>
            <w:tcW w:w="936" w:type="dxa"/>
            <w:vMerge w:val="restart"/>
            <w:shd w:val="clear" w:color="auto" w:fill="auto"/>
            <w:vAlign w:val="center"/>
          </w:tcPr>
          <w:p w14:paraId="64F5C1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互联网云桌面终端服务</w:t>
            </w:r>
          </w:p>
        </w:tc>
        <w:tc>
          <w:tcPr>
            <w:tcW w:w="1134" w:type="dxa"/>
            <w:shd w:val="clear" w:color="auto" w:fill="auto"/>
            <w:vAlign w:val="center"/>
          </w:tcPr>
          <w:p w14:paraId="3A0CB6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云桌面瘦终端</w:t>
            </w:r>
          </w:p>
        </w:tc>
        <w:tc>
          <w:tcPr>
            <w:tcW w:w="5855" w:type="dxa"/>
            <w:shd w:val="clear" w:color="auto" w:fill="auto"/>
            <w:vAlign w:val="center"/>
          </w:tcPr>
          <w:p w14:paraId="47E824C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CPU:芯片需符合安全可靠测评要求，CPU≥4，主频≥2.0GHz；</w:t>
            </w:r>
          </w:p>
          <w:p w14:paraId="1B68E25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内存：≥2GB</w:t>
            </w:r>
          </w:p>
          <w:p w14:paraId="6D5436F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存储：≥16GB</w:t>
            </w:r>
          </w:p>
          <w:p w14:paraId="516E4EA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配置≥1 * USB 2.0 Type-C口、2 * USB 3.0口、6 * USB 2.0口、1 * HDMI口、1 * VGA口，1 * 千兆RJ-45网口</w:t>
            </w:r>
          </w:p>
        </w:tc>
        <w:tc>
          <w:tcPr>
            <w:tcW w:w="845" w:type="dxa"/>
            <w:shd w:val="clear" w:color="auto" w:fill="auto"/>
            <w:vAlign w:val="center"/>
          </w:tcPr>
          <w:p w14:paraId="0AFA9C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155套</w:t>
            </w:r>
          </w:p>
        </w:tc>
      </w:tr>
      <w:tr w14:paraId="7953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61398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2C9E37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663FF7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无线键鼠</w:t>
            </w:r>
          </w:p>
        </w:tc>
        <w:tc>
          <w:tcPr>
            <w:tcW w:w="5855" w:type="dxa"/>
            <w:shd w:val="clear" w:color="auto" w:fill="auto"/>
            <w:vAlign w:val="center"/>
          </w:tcPr>
          <w:p w14:paraId="0E6888E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无线键鼠，至少支持USB无线连接</w:t>
            </w:r>
          </w:p>
        </w:tc>
        <w:tc>
          <w:tcPr>
            <w:tcW w:w="845" w:type="dxa"/>
            <w:shd w:val="clear" w:color="auto" w:fill="auto"/>
            <w:vAlign w:val="center"/>
          </w:tcPr>
          <w:p w14:paraId="16DF1F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275套</w:t>
            </w:r>
          </w:p>
        </w:tc>
      </w:tr>
      <w:tr w14:paraId="4E17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6665FA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30F341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43B30B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直面显示屏</w:t>
            </w:r>
          </w:p>
        </w:tc>
        <w:tc>
          <w:tcPr>
            <w:tcW w:w="5855" w:type="dxa"/>
            <w:shd w:val="clear" w:color="auto" w:fill="auto"/>
            <w:vAlign w:val="center"/>
          </w:tcPr>
          <w:p w14:paraId="45EA847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不小于27寸，直面显示屏，配套1条HDMI线</w:t>
            </w:r>
          </w:p>
        </w:tc>
        <w:tc>
          <w:tcPr>
            <w:tcW w:w="845" w:type="dxa"/>
            <w:shd w:val="clear" w:color="auto" w:fill="auto"/>
            <w:vAlign w:val="center"/>
          </w:tcPr>
          <w:p w14:paraId="219A22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100台</w:t>
            </w:r>
          </w:p>
        </w:tc>
      </w:tr>
      <w:tr w14:paraId="28B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0667A3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4EA89E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4703B0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便携办公设备</w:t>
            </w:r>
          </w:p>
        </w:tc>
        <w:tc>
          <w:tcPr>
            <w:tcW w:w="5855" w:type="dxa"/>
            <w:shd w:val="clear" w:color="auto" w:fill="auto"/>
            <w:vAlign w:val="center"/>
          </w:tcPr>
          <w:p w14:paraId="3E6EDD3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CPU：符合安全可靠测评要求，CPU≥8，主频≥3GHz；</w:t>
            </w:r>
          </w:p>
          <w:p w14:paraId="5964B43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屏幕≥14寸，内存≥8G，硬盘≥512G</w:t>
            </w:r>
          </w:p>
        </w:tc>
        <w:tc>
          <w:tcPr>
            <w:tcW w:w="845" w:type="dxa"/>
            <w:shd w:val="clear" w:color="auto" w:fill="auto"/>
            <w:vAlign w:val="center"/>
          </w:tcPr>
          <w:p w14:paraId="0726EB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3台</w:t>
            </w:r>
          </w:p>
        </w:tc>
      </w:tr>
      <w:tr w14:paraId="2C66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3936D9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6698C6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7EF720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正版云桌面操作系统</w:t>
            </w:r>
          </w:p>
        </w:tc>
        <w:tc>
          <w:tcPr>
            <w:tcW w:w="5855" w:type="dxa"/>
            <w:shd w:val="clear" w:color="auto" w:fill="auto"/>
            <w:noWrap/>
            <w:vAlign w:val="center"/>
          </w:tcPr>
          <w:p w14:paraId="3A91BE3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正版云桌面操作系统，需符合安全可靠测评要求</w:t>
            </w:r>
          </w:p>
        </w:tc>
        <w:tc>
          <w:tcPr>
            <w:tcW w:w="845" w:type="dxa"/>
            <w:shd w:val="clear" w:color="auto" w:fill="auto"/>
            <w:vAlign w:val="center"/>
          </w:tcPr>
          <w:p w14:paraId="182993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150套</w:t>
            </w:r>
          </w:p>
        </w:tc>
      </w:tr>
      <w:tr w14:paraId="05C0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21BA99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5F4B0A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504CC2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正版流式软件</w:t>
            </w:r>
          </w:p>
        </w:tc>
        <w:tc>
          <w:tcPr>
            <w:tcW w:w="5855" w:type="dxa"/>
            <w:shd w:val="clear" w:color="auto" w:fill="auto"/>
            <w:noWrap/>
            <w:vAlign w:val="center"/>
          </w:tcPr>
          <w:p w14:paraId="71576EC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正版流式软件，需符合安全可靠测评要求</w:t>
            </w:r>
          </w:p>
        </w:tc>
        <w:tc>
          <w:tcPr>
            <w:tcW w:w="845" w:type="dxa"/>
            <w:shd w:val="clear" w:color="auto" w:fill="auto"/>
            <w:vAlign w:val="center"/>
          </w:tcPr>
          <w:p w14:paraId="32E635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150套</w:t>
            </w:r>
          </w:p>
        </w:tc>
      </w:tr>
      <w:tr w14:paraId="20E8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18A409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0D5052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3701D8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正版版式软件</w:t>
            </w:r>
          </w:p>
        </w:tc>
        <w:tc>
          <w:tcPr>
            <w:tcW w:w="5855" w:type="dxa"/>
            <w:shd w:val="clear" w:color="auto" w:fill="auto"/>
            <w:noWrap/>
            <w:vAlign w:val="center"/>
          </w:tcPr>
          <w:p w14:paraId="6CFD047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正版版式软件，需符合安全可靠测评要求</w:t>
            </w:r>
          </w:p>
        </w:tc>
        <w:tc>
          <w:tcPr>
            <w:tcW w:w="845" w:type="dxa"/>
            <w:shd w:val="clear" w:color="auto" w:fill="auto"/>
            <w:vAlign w:val="center"/>
          </w:tcPr>
          <w:p w14:paraId="2AA838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150套</w:t>
            </w:r>
          </w:p>
        </w:tc>
      </w:tr>
      <w:tr w14:paraId="4A83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vMerge w:val="continue"/>
            <w:shd w:val="clear" w:color="auto" w:fill="auto"/>
            <w:vAlign w:val="center"/>
          </w:tcPr>
          <w:p w14:paraId="397B14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936" w:type="dxa"/>
            <w:vMerge w:val="continue"/>
            <w:shd w:val="clear" w:color="auto" w:fill="auto"/>
            <w:vAlign w:val="center"/>
          </w:tcPr>
          <w:p w14:paraId="26EFB1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p>
        </w:tc>
        <w:tc>
          <w:tcPr>
            <w:tcW w:w="1134" w:type="dxa"/>
            <w:shd w:val="clear" w:color="auto" w:fill="auto"/>
            <w:vAlign w:val="center"/>
          </w:tcPr>
          <w:p w14:paraId="00E974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终端安全防护服务</w:t>
            </w:r>
          </w:p>
        </w:tc>
        <w:tc>
          <w:tcPr>
            <w:tcW w:w="5855" w:type="dxa"/>
            <w:shd w:val="clear" w:color="auto" w:fill="auto"/>
            <w:vAlign w:val="center"/>
          </w:tcPr>
          <w:p w14:paraId="710CB05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针对符合安全可靠测评要求的操作系统进行病毒查杀服务。提供符合安全可靠测评要求的终端提供安全审计服务，提供文件审计、账户审计、进程审计、网络审计、系统审计等功能。针对符合安全可靠测评要求的桌面系统终端提供补丁管理功能，针对符合安全可靠测评要求的终端移动存储介质提供注册、授权、管理及审计的安全管理。</w:t>
            </w:r>
          </w:p>
        </w:tc>
        <w:tc>
          <w:tcPr>
            <w:tcW w:w="845" w:type="dxa"/>
            <w:shd w:val="clear" w:color="auto" w:fill="auto"/>
            <w:vAlign w:val="center"/>
          </w:tcPr>
          <w:p w14:paraId="0FAC15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150套</w:t>
            </w:r>
          </w:p>
        </w:tc>
      </w:tr>
      <w:tr w14:paraId="0865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8" w:type="dxa"/>
            <w:shd w:val="clear" w:color="auto" w:fill="auto"/>
            <w:vAlign w:val="center"/>
          </w:tcPr>
          <w:p w14:paraId="636D74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w:t>
            </w:r>
          </w:p>
        </w:tc>
        <w:tc>
          <w:tcPr>
            <w:tcW w:w="936" w:type="dxa"/>
            <w:shd w:val="clear" w:color="auto" w:fill="auto"/>
            <w:vAlign w:val="center"/>
          </w:tcPr>
          <w:p w14:paraId="1AD9DB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专网应急安全系统服务</w:t>
            </w:r>
          </w:p>
        </w:tc>
        <w:tc>
          <w:tcPr>
            <w:tcW w:w="1134" w:type="dxa"/>
            <w:shd w:val="clear" w:color="auto" w:fill="auto"/>
            <w:vAlign w:val="center"/>
          </w:tcPr>
          <w:p w14:paraId="166D00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终端安全防护服务</w:t>
            </w:r>
          </w:p>
        </w:tc>
        <w:tc>
          <w:tcPr>
            <w:tcW w:w="5855" w:type="dxa"/>
            <w:shd w:val="clear" w:color="auto" w:fill="auto"/>
            <w:vAlign w:val="center"/>
          </w:tcPr>
          <w:p w14:paraId="0723009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针对操作系统进行病毒查杀等功能服务。提供终端安全审计服务，提供文件审计、账户审计、进程审计、网络审计、系统审计等功能。针对桌面系统终端提供补丁管理服务，提供终端移动存储介质的注册、授权、管理及审计的安全管理服务。</w:t>
            </w:r>
          </w:p>
        </w:tc>
        <w:tc>
          <w:tcPr>
            <w:tcW w:w="845" w:type="dxa"/>
            <w:shd w:val="clear" w:color="auto" w:fill="auto"/>
            <w:vAlign w:val="center"/>
          </w:tcPr>
          <w:p w14:paraId="4DA8DE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450套</w:t>
            </w:r>
          </w:p>
        </w:tc>
      </w:tr>
    </w:tbl>
    <w:p w14:paraId="736885F7">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rPr>
        <w:t>（四）基础配套服务要求</w:t>
      </w:r>
    </w:p>
    <w:tbl>
      <w:tblPr>
        <w:tblStyle w:val="22"/>
        <w:tblW w:w="9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0"/>
        <w:gridCol w:w="969"/>
        <w:gridCol w:w="6863"/>
        <w:gridCol w:w="824"/>
      </w:tblGrid>
      <w:tr w14:paraId="37E8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90" w:type="dxa"/>
            <w:shd w:val="clear" w:color="auto" w:fill="auto"/>
            <w:vAlign w:val="center"/>
          </w:tcPr>
          <w:p w14:paraId="78BC78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序号</w:t>
            </w:r>
          </w:p>
        </w:tc>
        <w:tc>
          <w:tcPr>
            <w:tcW w:w="969" w:type="dxa"/>
            <w:shd w:val="clear" w:color="auto" w:fill="auto"/>
            <w:vAlign w:val="center"/>
          </w:tcPr>
          <w:p w14:paraId="2B95D3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服务名称</w:t>
            </w:r>
          </w:p>
        </w:tc>
        <w:tc>
          <w:tcPr>
            <w:tcW w:w="6863" w:type="dxa"/>
            <w:shd w:val="clear" w:color="auto" w:fill="auto"/>
            <w:vAlign w:val="center"/>
          </w:tcPr>
          <w:p w14:paraId="36F4406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服务内容</w:t>
            </w:r>
          </w:p>
        </w:tc>
        <w:tc>
          <w:tcPr>
            <w:tcW w:w="824" w:type="dxa"/>
            <w:shd w:val="clear" w:color="auto" w:fill="auto"/>
            <w:vAlign w:val="center"/>
          </w:tcPr>
          <w:p w14:paraId="4204B8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bCs/>
                <w:color w:val="auto"/>
                <w:kern w:val="0"/>
                <w:sz w:val="24"/>
                <w:szCs w:val="24"/>
              </w:rPr>
              <w:t>数量</w:t>
            </w:r>
          </w:p>
        </w:tc>
      </w:tr>
      <w:tr w14:paraId="2C5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90" w:type="dxa"/>
            <w:shd w:val="clear" w:color="auto" w:fill="auto"/>
            <w:vAlign w:val="center"/>
          </w:tcPr>
          <w:p w14:paraId="0465EB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w:t>
            </w:r>
          </w:p>
        </w:tc>
        <w:tc>
          <w:tcPr>
            <w:tcW w:w="969" w:type="dxa"/>
            <w:shd w:val="clear" w:color="auto" w:fill="auto"/>
            <w:vAlign w:val="center"/>
          </w:tcPr>
          <w:p w14:paraId="1FF5C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传输链路服务</w:t>
            </w:r>
          </w:p>
        </w:tc>
        <w:tc>
          <w:tcPr>
            <w:tcW w:w="6863" w:type="dxa"/>
            <w:shd w:val="clear" w:color="auto" w:fill="auto"/>
            <w:noWrap/>
            <w:vAlign w:val="center"/>
          </w:tcPr>
          <w:p w14:paraId="5166C64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话务系统云桌面至太极云联络传输线路1条，</w:t>
            </w:r>
          </w:p>
          <w:p w14:paraId="4D37595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1000M链路6条，技术要求如下：</w:t>
            </w:r>
          </w:p>
          <w:p w14:paraId="7BA9272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专网侧云桌面传输链路4条，接入坐席所在职场大楼专网区</w:t>
            </w:r>
          </w:p>
          <w:p w14:paraId="08E8670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互联网侧云桌面传输链路2条。接入坐席所在职场大楼互联网区</w:t>
            </w:r>
          </w:p>
        </w:tc>
        <w:tc>
          <w:tcPr>
            <w:tcW w:w="824" w:type="dxa"/>
            <w:shd w:val="clear" w:color="auto" w:fill="auto"/>
            <w:vAlign w:val="center"/>
          </w:tcPr>
          <w:p w14:paraId="7BC275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12个月</w:t>
            </w:r>
          </w:p>
        </w:tc>
      </w:tr>
      <w:tr w14:paraId="174A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90" w:type="dxa"/>
            <w:shd w:val="clear" w:color="auto" w:fill="auto"/>
            <w:vAlign w:val="center"/>
          </w:tcPr>
          <w:p w14:paraId="33D239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2</w:t>
            </w:r>
          </w:p>
        </w:tc>
        <w:tc>
          <w:tcPr>
            <w:tcW w:w="969" w:type="dxa"/>
            <w:shd w:val="clear" w:color="auto" w:fill="auto"/>
            <w:vAlign w:val="center"/>
          </w:tcPr>
          <w:p w14:paraId="283719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机柜租赁服务</w:t>
            </w:r>
          </w:p>
        </w:tc>
        <w:tc>
          <w:tcPr>
            <w:tcW w:w="6863" w:type="dxa"/>
            <w:shd w:val="clear" w:color="auto" w:fill="auto"/>
            <w:noWrap/>
            <w:vAlign w:val="center"/>
          </w:tcPr>
          <w:p w14:paraId="7525F37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为本项目提供</w:t>
            </w:r>
            <w:r>
              <w:rPr>
                <w:rFonts w:hint="default" w:ascii="Times New Roman" w:hAnsi="Times New Roman" w:eastAsia="宋体" w:cs="Times New Roman"/>
                <w:color w:val="auto"/>
                <w:kern w:val="0"/>
                <w:sz w:val="24"/>
                <w:szCs w:val="24"/>
              </w:rPr>
              <w:t>政务云机房配套机柜</w:t>
            </w:r>
          </w:p>
        </w:tc>
        <w:tc>
          <w:tcPr>
            <w:tcW w:w="824" w:type="dxa"/>
            <w:shd w:val="clear" w:color="auto" w:fill="auto"/>
            <w:vAlign w:val="center"/>
          </w:tcPr>
          <w:p w14:paraId="53BE93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12个月</w:t>
            </w:r>
          </w:p>
        </w:tc>
      </w:tr>
    </w:tbl>
    <w:p w14:paraId="1F8815DF">
      <w:pPr>
        <w:keepLines w:val="0"/>
        <w:pageBreakBefore w:val="0"/>
        <w:widowControl w:val="0"/>
        <w:numPr>
          <w:ilvl w:val="-1"/>
          <w:numId w:val="0"/>
        </w:numPr>
        <w:kinsoku/>
        <w:wordWrap/>
        <w:overflowPunct/>
        <w:bidi w:val="0"/>
        <w:ind w:firstLine="448" w:firstLineChars="200"/>
        <w:jc w:val="left"/>
        <w:outlineLvl w:val="9"/>
        <w:rPr>
          <w:rFonts w:hint="eastAsia"/>
          <w:color w:val="auto"/>
          <w:sz w:val="24"/>
        </w:rPr>
      </w:pPr>
      <w:r>
        <w:rPr>
          <w:rFonts w:hint="eastAsia"/>
          <w:color w:val="auto"/>
          <w:sz w:val="24"/>
        </w:rPr>
        <w:t>（五）现场服务要求</w:t>
      </w:r>
    </w:p>
    <w:p w14:paraId="6526C62E">
      <w:pPr>
        <w:keepLines w:val="0"/>
        <w:pageBreakBefore w:val="0"/>
        <w:widowControl w:val="0"/>
        <w:numPr>
          <w:ilvl w:val="-1"/>
          <w:numId w:val="0"/>
        </w:numPr>
        <w:kinsoku/>
        <w:wordWrap/>
        <w:overflowPunct/>
        <w:bidi w:val="0"/>
        <w:ind w:firstLine="448" w:firstLineChars="200"/>
        <w:jc w:val="left"/>
        <w:outlineLvl w:val="9"/>
        <w:rPr>
          <w:rFonts w:hint="eastAsia"/>
          <w:color w:val="auto"/>
          <w:sz w:val="24"/>
          <w:lang w:val="en-US" w:eastAsia="zh-CN"/>
        </w:rPr>
      </w:pPr>
      <w:r>
        <w:rPr>
          <w:rFonts w:hint="eastAsia"/>
          <w:color w:val="auto"/>
          <w:sz w:val="24"/>
        </w:rPr>
        <w:t>服务期内，需提供5*8小时驻场人员1名及7*24小时响应服务，驻场人员需要具备专业技术能力和素养随时响应现场话务员求助，解决系统、技术故障等问题。</w:t>
      </w:r>
    </w:p>
    <w:p w14:paraId="409B2B5E">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lang w:eastAsia="zh-CN"/>
        </w:rPr>
        <w:t>（</w:t>
      </w:r>
      <w:r>
        <w:rPr>
          <w:rFonts w:hint="eastAsia"/>
          <w:color w:val="auto"/>
          <w:sz w:val="24"/>
          <w:lang w:val="en-US" w:eastAsia="zh-CN"/>
        </w:rPr>
        <w:t>六）</w:t>
      </w:r>
      <w:r>
        <w:rPr>
          <w:rFonts w:hint="eastAsia"/>
          <w:color w:val="auto"/>
          <w:sz w:val="24"/>
        </w:rPr>
        <w:t>业务连续性要求</w:t>
      </w:r>
    </w:p>
    <w:p w14:paraId="2EEC32FF">
      <w:pPr>
        <w:keepLines w:val="0"/>
        <w:pageBreakBefore w:val="0"/>
        <w:widowControl w:val="0"/>
        <w:kinsoku/>
        <w:wordWrap/>
        <w:overflowPunct/>
        <w:bidi w:val="0"/>
        <w:ind w:firstLine="448" w:firstLineChars="200"/>
        <w:jc w:val="left"/>
        <w:rPr>
          <w:color w:val="auto"/>
          <w:sz w:val="24"/>
        </w:rPr>
      </w:pPr>
      <w:r>
        <w:rPr>
          <w:rFonts w:hint="eastAsia"/>
          <w:color w:val="auto"/>
          <w:sz w:val="24"/>
        </w:rPr>
        <w:t>服务需满足延续业务运营、保障用户体验的要求。</w:t>
      </w:r>
    </w:p>
    <w:p w14:paraId="525CCF3E">
      <w:pPr>
        <w:keepLines w:val="0"/>
        <w:pageBreakBefore w:val="0"/>
        <w:widowControl w:val="0"/>
        <w:kinsoku/>
        <w:wordWrap/>
        <w:overflowPunct/>
        <w:bidi w:val="0"/>
        <w:ind w:firstLine="448" w:firstLineChars="200"/>
        <w:jc w:val="left"/>
        <w:rPr>
          <w:color w:val="auto"/>
          <w:sz w:val="24"/>
        </w:rPr>
      </w:pPr>
      <w:r>
        <w:rPr>
          <w:rFonts w:hint="eastAsia"/>
          <w:color w:val="auto"/>
          <w:sz w:val="24"/>
        </w:rPr>
        <w:t>投标人需要给出清晰、可行的业务连续性保障方案。</w:t>
      </w:r>
    </w:p>
    <w:p w14:paraId="2ADE2F2E">
      <w:pPr>
        <w:keepLines w:val="0"/>
        <w:pageBreakBefore w:val="0"/>
        <w:widowControl w:val="0"/>
        <w:kinsoku/>
        <w:wordWrap/>
        <w:overflowPunct/>
        <w:bidi w:val="0"/>
        <w:ind w:firstLine="448" w:firstLineChars="200"/>
        <w:jc w:val="left"/>
        <w:rPr>
          <w:color w:val="auto"/>
          <w:sz w:val="24"/>
        </w:rPr>
      </w:pPr>
      <w:r>
        <w:rPr>
          <w:rFonts w:hint="eastAsia"/>
          <w:color w:val="auto"/>
          <w:sz w:val="24"/>
        </w:rPr>
        <w:t>投标人需提供完备的软电话汇接系统割接及升级方案（包含线路侧及平台侧），系统割接前需进行充分的话务及软电话呼叫功能测试及接口验证。</w:t>
      </w:r>
    </w:p>
    <w:p w14:paraId="1318CE4E">
      <w:pPr>
        <w:keepLines w:val="0"/>
        <w:pageBreakBefore w:val="0"/>
        <w:widowControl w:val="0"/>
        <w:kinsoku/>
        <w:wordWrap/>
        <w:overflowPunct/>
        <w:bidi w:val="0"/>
        <w:ind w:firstLine="448" w:firstLineChars="200"/>
        <w:jc w:val="left"/>
        <w:rPr>
          <w:color w:val="auto"/>
          <w:sz w:val="24"/>
        </w:rPr>
      </w:pPr>
      <w:r>
        <w:rPr>
          <w:rFonts w:hint="eastAsia"/>
          <w:color w:val="auto"/>
          <w:sz w:val="24"/>
        </w:rPr>
        <w:t>投标人系统割接方案需包含：割接准备、割接测试、割接故障处理、割接回退方案等组成部分。</w:t>
      </w:r>
    </w:p>
    <w:p w14:paraId="3ECE38BD">
      <w:pPr>
        <w:keepLines w:val="0"/>
        <w:pageBreakBefore w:val="0"/>
        <w:widowControl w:val="0"/>
        <w:kinsoku/>
        <w:wordWrap/>
        <w:overflowPunct/>
        <w:bidi w:val="0"/>
        <w:ind w:firstLine="448" w:firstLineChars="200"/>
        <w:jc w:val="left"/>
        <w:rPr>
          <w:color w:val="auto"/>
          <w:sz w:val="24"/>
        </w:rPr>
      </w:pPr>
      <w:r>
        <w:rPr>
          <w:rFonts w:hint="eastAsia"/>
          <w:color w:val="auto"/>
          <w:sz w:val="24"/>
        </w:rPr>
        <w:t>1、割接前提：为确保割接顺利进行，新的话务服务端与工单系统需完成详尽且细致的软电话功能对接工作，确保各项功能无缝衔接。</w:t>
      </w:r>
    </w:p>
    <w:p w14:paraId="65BD8053">
      <w:pPr>
        <w:keepLines w:val="0"/>
        <w:pageBreakBefore w:val="0"/>
        <w:widowControl w:val="0"/>
        <w:kinsoku/>
        <w:wordWrap/>
        <w:overflowPunct/>
        <w:bidi w:val="0"/>
        <w:ind w:firstLine="448" w:firstLineChars="200"/>
        <w:jc w:val="left"/>
        <w:rPr>
          <w:color w:val="auto"/>
          <w:sz w:val="24"/>
        </w:rPr>
      </w:pPr>
      <w:r>
        <w:rPr>
          <w:rFonts w:hint="eastAsia"/>
          <w:color w:val="auto"/>
          <w:sz w:val="24"/>
        </w:rPr>
        <w:t>2、割接注意点：需保障话务系统服务端与工单业务系统及今晚报办公地的网络保持畅通。为确保业务的连续性，新老话务系统需保持同时正常运行的状态，避免服务中断。</w:t>
      </w:r>
    </w:p>
    <w:p w14:paraId="1307E7BA">
      <w:pPr>
        <w:keepLines w:val="0"/>
        <w:pageBreakBefore w:val="0"/>
        <w:widowControl w:val="0"/>
        <w:kinsoku/>
        <w:wordWrap/>
        <w:overflowPunct/>
        <w:bidi w:val="0"/>
        <w:ind w:firstLine="448" w:firstLineChars="200"/>
        <w:jc w:val="left"/>
        <w:rPr>
          <w:color w:val="auto"/>
          <w:sz w:val="24"/>
        </w:rPr>
      </w:pPr>
      <w:r>
        <w:rPr>
          <w:rFonts w:hint="eastAsia"/>
          <w:color w:val="auto"/>
          <w:sz w:val="24"/>
        </w:rPr>
        <w:t>3、风险应对：为应对可能出现的意外情况，需准备好话务应急页面。一旦割接过程中发生意外，需迅速启用应急页面，确保业务的快速恢复。</w:t>
      </w:r>
    </w:p>
    <w:p w14:paraId="0177C24D">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rPr>
        <w:t>（</w:t>
      </w:r>
      <w:r>
        <w:rPr>
          <w:rFonts w:hint="eastAsia"/>
          <w:color w:val="auto"/>
          <w:sz w:val="24"/>
          <w:lang w:val="en-US" w:eastAsia="zh-CN"/>
        </w:rPr>
        <w:t>七</w:t>
      </w:r>
      <w:r>
        <w:rPr>
          <w:rFonts w:hint="eastAsia"/>
          <w:color w:val="auto"/>
          <w:sz w:val="24"/>
        </w:rPr>
        <w:t>）其他服务要求</w:t>
      </w:r>
    </w:p>
    <w:p w14:paraId="0AEB5A90">
      <w:pPr>
        <w:keepLines w:val="0"/>
        <w:pageBreakBefore w:val="0"/>
        <w:widowControl w:val="0"/>
        <w:kinsoku/>
        <w:wordWrap/>
        <w:overflowPunct/>
        <w:bidi w:val="0"/>
        <w:ind w:firstLine="448" w:firstLineChars="200"/>
        <w:jc w:val="left"/>
        <w:rPr>
          <w:color w:val="auto"/>
          <w:sz w:val="24"/>
        </w:rPr>
      </w:pPr>
      <w:r>
        <w:rPr>
          <w:rFonts w:hint="eastAsia"/>
          <w:color w:val="auto"/>
          <w:sz w:val="24"/>
        </w:rPr>
        <w:t>1、投标人有责任在保证安全和质量的前提下提供技术服务，包括：技术咨询、技术资料、操作说明书、维护说明书等。</w:t>
      </w:r>
    </w:p>
    <w:p w14:paraId="0F991762">
      <w:pPr>
        <w:keepLines w:val="0"/>
        <w:pageBreakBefore w:val="0"/>
        <w:widowControl w:val="0"/>
        <w:kinsoku/>
        <w:wordWrap/>
        <w:overflowPunct/>
        <w:bidi w:val="0"/>
        <w:ind w:firstLine="448" w:firstLineChars="200"/>
        <w:jc w:val="left"/>
        <w:rPr>
          <w:color w:val="auto"/>
          <w:sz w:val="24"/>
        </w:rPr>
      </w:pPr>
      <w:r>
        <w:rPr>
          <w:rFonts w:hint="eastAsia"/>
          <w:color w:val="auto"/>
          <w:sz w:val="24"/>
        </w:rPr>
        <w:t>2、如发生软件升级、扩展等有关情况，投标人应向招标人提供必要的技术资料，并按招标人要求派技术人员到现场进行具体的实施和操作</w:t>
      </w:r>
    </w:p>
    <w:p w14:paraId="0D8915F4">
      <w:pPr>
        <w:keepLines w:val="0"/>
        <w:pageBreakBefore w:val="0"/>
        <w:widowControl w:val="0"/>
        <w:kinsoku/>
        <w:wordWrap/>
        <w:overflowPunct/>
        <w:bidi w:val="0"/>
        <w:ind w:firstLine="448" w:firstLineChars="200"/>
        <w:jc w:val="left"/>
        <w:rPr>
          <w:color w:val="auto"/>
          <w:sz w:val="24"/>
        </w:rPr>
      </w:pPr>
      <w:r>
        <w:rPr>
          <w:rFonts w:hint="eastAsia"/>
          <w:color w:val="auto"/>
          <w:sz w:val="24"/>
        </w:rPr>
        <w:t>3、在系统试运行期间，根据需要投标人有责任派技术人员到现场指导维护工作；在网络和设备扩容及软件升级时，厂商应派技术人员到场指导。</w:t>
      </w:r>
    </w:p>
    <w:p w14:paraId="515483EE">
      <w:pPr>
        <w:keepLines w:val="0"/>
        <w:pageBreakBefore w:val="0"/>
        <w:widowControl w:val="0"/>
        <w:kinsoku/>
        <w:wordWrap/>
        <w:overflowPunct/>
        <w:bidi w:val="0"/>
        <w:ind w:firstLine="448" w:firstLineChars="200"/>
        <w:jc w:val="left"/>
        <w:rPr>
          <w:color w:val="auto"/>
          <w:sz w:val="24"/>
        </w:rPr>
      </w:pPr>
      <w:r>
        <w:rPr>
          <w:rFonts w:hint="eastAsia"/>
          <w:color w:val="auto"/>
          <w:sz w:val="24"/>
        </w:rPr>
        <w:t>4、在系统运行期间，投标人应提供电话服务支持和现场技术支持，如招标人有重保需求，投标人应按招标人要求提供重保期间的现场技术支持。</w:t>
      </w:r>
    </w:p>
    <w:p w14:paraId="3026A2B7">
      <w:pPr>
        <w:keepLines w:val="0"/>
        <w:pageBreakBefore w:val="0"/>
        <w:widowControl w:val="0"/>
        <w:kinsoku/>
        <w:wordWrap/>
        <w:overflowPunct/>
        <w:bidi w:val="0"/>
        <w:ind w:firstLine="448" w:firstLineChars="200"/>
        <w:jc w:val="left"/>
        <w:rPr>
          <w:color w:val="auto"/>
          <w:sz w:val="24"/>
        </w:rPr>
      </w:pPr>
      <w:r>
        <w:rPr>
          <w:rFonts w:hint="eastAsia"/>
          <w:color w:val="auto"/>
          <w:sz w:val="24"/>
        </w:rPr>
        <w:t>5、投标人应在天津设立维护团队，为本地提供技术服务，及时响应。</w:t>
      </w:r>
    </w:p>
    <w:p w14:paraId="03CA1D7F">
      <w:pPr>
        <w:keepLines w:val="0"/>
        <w:pageBreakBefore w:val="0"/>
        <w:widowControl w:val="0"/>
        <w:kinsoku/>
        <w:wordWrap/>
        <w:overflowPunct/>
        <w:bidi w:val="0"/>
        <w:ind w:firstLine="448" w:firstLineChars="200"/>
        <w:jc w:val="left"/>
        <w:outlineLvl w:val="2"/>
        <w:rPr>
          <w:color w:val="auto"/>
          <w:sz w:val="24"/>
        </w:rPr>
      </w:pPr>
      <w:r>
        <w:rPr>
          <w:rFonts w:hint="eastAsia"/>
          <w:color w:val="auto"/>
          <w:sz w:val="24"/>
        </w:rPr>
        <w:t>（</w:t>
      </w:r>
      <w:r>
        <w:rPr>
          <w:rFonts w:hint="eastAsia"/>
          <w:color w:val="auto"/>
          <w:sz w:val="24"/>
          <w:lang w:val="en-US" w:eastAsia="zh-CN"/>
        </w:rPr>
        <w:t>八</w:t>
      </w:r>
      <w:r>
        <w:rPr>
          <w:rFonts w:hint="eastAsia"/>
          <w:color w:val="auto"/>
          <w:sz w:val="24"/>
        </w:rPr>
        <w:t>）培训要求</w:t>
      </w:r>
    </w:p>
    <w:p w14:paraId="018076DB">
      <w:pPr>
        <w:keepLines w:val="0"/>
        <w:pageBreakBefore w:val="0"/>
        <w:widowControl w:val="0"/>
        <w:kinsoku/>
        <w:wordWrap/>
        <w:overflowPunct/>
        <w:bidi w:val="0"/>
        <w:ind w:firstLine="448" w:firstLineChars="200"/>
        <w:jc w:val="left"/>
        <w:rPr>
          <w:color w:val="auto"/>
          <w:sz w:val="24"/>
        </w:rPr>
      </w:pPr>
      <w:r>
        <w:rPr>
          <w:rFonts w:hint="eastAsia"/>
          <w:color w:val="auto"/>
          <w:sz w:val="24"/>
        </w:rPr>
        <w:t>投标人应提供平台系统相关的现场使用培训。</w:t>
      </w:r>
    </w:p>
    <w:p w14:paraId="052075A4">
      <w:pPr>
        <w:keepLines w:val="0"/>
        <w:pageBreakBefore w:val="0"/>
        <w:widowControl w:val="0"/>
        <w:kinsoku/>
        <w:wordWrap/>
        <w:overflowPunct/>
        <w:bidi w:val="0"/>
        <w:ind w:firstLine="448" w:firstLineChars="200"/>
        <w:jc w:val="left"/>
        <w:rPr>
          <w:color w:val="auto"/>
          <w:sz w:val="24"/>
        </w:rPr>
      </w:pPr>
      <w:r>
        <w:rPr>
          <w:rFonts w:hint="eastAsia"/>
          <w:color w:val="auto"/>
          <w:sz w:val="24"/>
        </w:rPr>
        <w:t>投标人应提供必要的培训资料、文件和设施。</w:t>
      </w:r>
    </w:p>
    <w:p w14:paraId="154DEE15">
      <w:pPr>
        <w:keepLines w:val="0"/>
        <w:pageBreakBefore w:val="0"/>
        <w:widowControl w:val="0"/>
        <w:kinsoku/>
        <w:wordWrap/>
        <w:overflowPunct/>
        <w:bidi w:val="0"/>
        <w:ind w:firstLine="448" w:firstLineChars="200"/>
        <w:jc w:val="left"/>
        <w:rPr>
          <w:color w:val="auto"/>
          <w:sz w:val="24"/>
        </w:rPr>
      </w:pPr>
      <w:r>
        <w:rPr>
          <w:rFonts w:hint="eastAsia"/>
          <w:color w:val="auto"/>
          <w:sz w:val="24"/>
        </w:rPr>
        <w:t>投标人应提供平台系统相关的技术培训课程，培训课程中应包含平台系统维护培训。</w:t>
      </w:r>
    </w:p>
    <w:p w14:paraId="3169A369">
      <w:pPr>
        <w:keepLines w:val="0"/>
        <w:pageBreakBefore w:val="0"/>
        <w:widowControl w:val="0"/>
        <w:kinsoku/>
        <w:wordWrap/>
        <w:overflowPunct/>
        <w:bidi w:val="0"/>
        <w:ind w:firstLine="448" w:firstLineChars="200"/>
        <w:jc w:val="left"/>
        <w:rPr>
          <w:color w:val="auto"/>
          <w:sz w:val="24"/>
        </w:rPr>
      </w:pPr>
      <w:r>
        <w:rPr>
          <w:rFonts w:hint="eastAsia"/>
          <w:color w:val="auto"/>
          <w:sz w:val="24"/>
        </w:rPr>
        <w:t>培训计划应包括所提供软件的原理和技术性能、操作维护方法、安装调测、排除故障及软件结构、定制和升级等各个方面。</w:t>
      </w:r>
    </w:p>
    <w:p w14:paraId="40DA4103">
      <w:pPr>
        <w:keepLines w:val="0"/>
        <w:pageBreakBefore w:val="0"/>
        <w:widowControl w:val="0"/>
        <w:kinsoku/>
        <w:wordWrap/>
        <w:overflowPunct/>
        <w:bidi w:val="0"/>
        <w:ind w:firstLine="448" w:firstLineChars="200"/>
        <w:jc w:val="left"/>
        <w:rPr>
          <w:color w:val="auto"/>
          <w:sz w:val="24"/>
        </w:rPr>
      </w:pPr>
      <w:r>
        <w:rPr>
          <w:rFonts w:hint="eastAsia"/>
          <w:color w:val="auto"/>
          <w:sz w:val="24"/>
        </w:rPr>
        <w:t>为保证系统长期稳定可靠运行，根据项目需要进行相关培训，培训的地点主要为现场培训，培训的内容主要有话务呼叫中心平台及云桌面等操作培训和维护培训以及安装培训。</w:t>
      </w:r>
    </w:p>
    <w:p w14:paraId="185BFFEE">
      <w:pPr>
        <w:keepLines w:val="0"/>
        <w:pageBreakBefore w:val="0"/>
        <w:widowControl w:val="0"/>
        <w:kinsoku/>
        <w:wordWrap/>
        <w:overflowPunct/>
        <w:bidi w:val="0"/>
        <w:ind w:firstLine="448" w:firstLineChars="200"/>
        <w:jc w:val="left"/>
        <w:rPr>
          <w:color w:val="auto"/>
          <w:sz w:val="24"/>
        </w:rPr>
      </w:pPr>
      <w:r>
        <w:rPr>
          <w:rFonts w:hint="eastAsia"/>
          <w:color w:val="auto"/>
          <w:sz w:val="24"/>
        </w:rPr>
        <w:t>系统维护人员培训：针对用户的呼叫中心及云桌面系统维护人员，主要包括呼叫中心及云桌面系统基本构成、系统结构、网络连接方式、通信基本知识、通信网络结构、数据库技术等。对呼叫中心及云桌面系统进行所有日常维护（包括运行状态检查、网络状态检查、话务量评测等）；对一些普通或常见的系统故障进行处理（包括网络故障、话机故障、云桌面故障等）；在系统发生严重故障时，在市便民专线服务中心数据信息部统一指导下紧急故障切换处理，保证呼叫中心及云桌面的基本运行功能。</w:t>
      </w:r>
    </w:p>
    <w:p w14:paraId="40275351">
      <w:pPr>
        <w:keepLines w:val="0"/>
        <w:pageBreakBefore w:val="0"/>
        <w:widowControl w:val="0"/>
        <w:kinsoku/>
        <w:wordWrap/>
        <w:overflowPunct/>
        <w:bidi w:val="0"/>
        <w:ind w:firstLine="448" w:firstLineChars="200"/>
        <w:jc w:val="left"/>
        <w:rPr>
          <w:color w:val="auto"/>
          <w:sz w:val="24"/>
        </w:rPr>
      </w:pPr>
      <w:r>
        <w:rPr>
          <w:rFonts w:hint="eastAsia"/>
          <w:color w:val="auto"/>
          <w:sz w:val="24"/>
        </w:rPr>
        <w:t>管理人员培训：对呼叫中心及云桌面的管理人员，安排课堂集中培训和运行中的技术指导。培训内容主要包括呼叫中心及云桌面管理思想、呼叫中心及云桌面运行状态监控、呼叫中心及云桌面数据报表生成、座席人员资料管理等。保证管理人员能够对呼叫中心及云桌面座席人员资料及分组所有日常维护（包括增加、修改、删除座席人员资料，修改人员分组资料等）。能够实时监控整个呼叫中心及云桌面的业务运行状态（包括实时监控所有座席状态、中继线状态、分组排队队列状态、实时运行数据采集等）。能够熟练输出各种呼叫中心及云桌面统计数据报表，综合分析整个呼叫中心及云桌面的近期运行情况，协助调整呼叫中心及云桌面资源分配。</w:t>
      </w:r>
    </w:p>
    <w:p w14:paraId="3470FF06">
      <w:pPr>
        <w:keepLines w:val="0"/>
        <w:pageBreakBefore w:val="0"/>
        <w:widowControl w:val="0"/>
        <w:kinsoku/>
        <w:wordWrap/>
        <w:overflowPunct/>
        <w:bidi w:val="0"/>
        <w:ind w:firstLine="448" w:firstLineChars="200"/>
        <w:jc w:val="left"/>
        <w:rPr>
          <w:color w:val="auto"/>
          <w:sz w:val="24"/>
        </w:rPr>
      </w:pPr>
      <w:r>
        <w:rPr>
          <w:rFonts w:hint="eastAsia"/>
          <w:color w:val="auto"/>
          <w:sz w:val="24"/>
        </w:rPr>
        <w:t>座席人员培训：安排集中使用讲解以及使用过程中的技术指导。包括呼叫中心座席电话及云桌面使用方法、呼叫中心及云桌面客户端软件使用方法、呼叫中心及云桌面基本操作流程等。此项的培训也将集中对管理人员进行，通常再由管理人员对下属的座席人员进行长期培训指导。保证座席人员能够正常方便地使用呼叫中心座席电话及云桌面设备（包括接答、自动接答、呼出、转接、会议等操作）。能够正确熟练使用呼叫中心及云桌面的客户端软件（包括用户资料弹出、用户资料管理、用户工单资料管理、呼叫记录查询、内部消息系统使用、工作计划功能使用等）。</w:t>
      </w:r>
    </w:p>
    <w:p w14:paraId="7052F972">
      <w:pPr>
        <w:keepLines w:val="0"/>
        <w:pageBreakBefore w:val="0"/>
        <w:widowControl w:val="0"/>
        <w:kinsoku/>
        <w:wordWrap/>
        <w:overflowPunct/>
        <w:bidi w:val="0"/>
        <w:ind w:firstLine="448" w:firstLineChars="200"/>
        <w:jc w:val="left"/>
        <w:rPr>
          <w:color w:val="auto"/>
          <w:sz w:val="24"/>
        </w:rPr>
      </w:pPr>
      <w:r>
        <w:rPr>
          <w:rFonts w:hint="eastAsia"/>
          <w:color w:val="auto"/>
          <w:sz w:val="24"/>
        </w:rPr>
        <w:t>能够按正确的呼叫中心及云桌面工作流程进行工作（包括接答来电、业务处理、事后处理、临时置忙、上下班操作等）。</w:t>
      </w:r>
    </w:p>
    <w:p w14:paraId="55EBEAC4">
      <w:pPr>
        <w:keepLines w:val="0"/>
        <w:pageBreakBefore w:val="0"/>
        <w:widowControl w:val="0"/>
        <w:kinsoku/>
        <w:wordWrap/>
        <w:overflowPunct/>
        <w:bidi w:val="0"/>
        <w:ind w:firstLine="448" w:firstLineChars="200"/>
        <w:jc w:val="left"/>
        <w:rPr>
          <w:rFonts w:hint="eastAsia"/>
          <w:color w:val="auto"/>
          <w:sz w:val="24"/>
        </w:rPr>
      </w:pPr>
      <w:r>
        <w:rPr>
          <w:rFonts w:hint="eastAsia"/>
          <w:color w:val="auto"/>
          <w:sz w:val="24"/>
        </w:rPr>
        <w:t>投标人提供更新的软电话汇接系统服务后需对热线使用人员、管理人员及维护人员进行必要的系统培训，包含但不仅限于应急页面使用培训、接口文档培训、系统故障处理等；同时项目培训人员需具有丰富的项目实施及交付经验；项目培训时间与业主方提前商议，培训地点在项目实施现场。</w:t>
      </w:r>
    </w:p>
    <w:p w14:paraId="518E1A3C">
      <w:pPr>
        <w:keepLines w:val="0"/>
        <w:pageBreakBefore w:val="0"/>
        <w:widowControl w:val="0"/>
        <w:kinsoku/>
        <w:wordWrap/>
        <w:overflowPunct/>
        <w:bidi w:val="0"/>
        <w:ind w:firstLine="448" w:firstLineChars="200"/>
        <w:jc w:val="left"/>
        <w:rPr>
          <w:rFonts w:hint="default"/>
          <w:color w:val="auto"/>
          <w:sz w:val="24"/>
          <w:lang w:val="en-US" w:eastAsia="zh-CN"/>
        </w:rPr>
      </w:pPr>
    </w:p>
    <w:p w14:paraId="2B1B468A">
      <w:pPr>
        <w:rPr>
          <w:rFonts w:hint="eastAsia"/>
          <w:color w:val="auto"/>
          <w:sz w:val="24"/>
        </w:rPr>
      </w:pPr>
      <w:r>
        <w:rPr>
          <w:rFonts w:hint="eastAsia"/>
          <w:color w:val="auto"/>
          <w:sz w:val="24"/>
        </w:rPr>
        <w:br w:type="page"/>
      </w:r>
    </w:p>
    <w:p w14:paraId="7C4C6C81">
      <w:pPr>
        <w:rPr>
          <w:rFonts w:hint="eastAsia"/>
          <w:color w:val="auto"/>
          <w:sz w:val="24"/>
        </w:rPr>
      </w:pPr>
    </w:p>
    <w:p w14:paraId="757E8396">
      <w:pPr>
        <w:widowControl/>
        <w:ind w:left="0" w:leftChars="0" w:firstLine="0" w:firstLineChars="0"/>
        <w:jc w:val="left"/>
        <w:rPr>
          <w:rFonts w:hint="eastAsia" w:eastAsia="宋体"/>
          <w:b/>
          <w:bCs/>
          <w:sz w:val="24"/>
          <w:lang w:eastAsia="zh-CN"/>
        </w:rPr>
      </w:pPr>
      <w:r>
        <w:rPr>
          <w:b/>
          <w:bCs/>
          <w:sz w:val="24"/>
        </w:rPr>
        <w:t>第二包</w:t>
      </w:r>
      <w:r>
        <w:rPr>
          <w:rFonts w:hint="eastAsia"/>
          <w:b/>
          <w:bCs/>
          <w:sz w:val="24"/>
          <w:lang w:eastAsia="zh-CN"/>
        </w:rPr>
        <w:t>：</w:t>
      </w:r>
      <w:r>
        <w:rPr>
          <w:rFonts w:hint="default" w:ascii="Times New Roman" w:hAnsi="Times New Roman" w:eastAsia="宋体" w:cs="Times New Roman"/>
          <w:b/>
          <w:bCs/>
          <w:color w:val="auto"/>
          <w:sz w:val="24"/>
          <w:szCs w:val="24"/>
        </w:rPr>
        <w:t>监理服务</w:t>
      </w:r>
    </w:p>
    <w:p w14:paraId="74D109A2">
      <w:pPr>
        <w:widowControl/>
        <w:ind w:firstLine="448" w:firstLineChars="200"/>
        <w:jc w:val="left"/>
        <w:rPr>
          <w:sz w:val="24"/>
        </w:rPr>
      </w:pPr>
      <w:r>
        <w:rPr>
          <w:rFonts w:hint="eastAsia"/>
          <w:sz w:val="24"/>
          <w:lang w:val="en-US" w:eastAsia="zh-CN"/>
        </w:rPr>
        <w:t>一</w:t>
      </w:r>
      <w:r>
        <w:rPr>
          <w:rFonts w:hint="eastAsia"/>
          <w:sz w:val="24"/>
        </w:rPr>
        <w:t>、服务要求</w:t>
      </w:r>
    </w:p>
    <w:p w14:paraId="1E827F77">
      <w:pPr>
        <w:widowControl/>
        <w:ind w:firstLine="448" w:firstLineChars="200"/>
        <w:jc w:val="left"/>
        <w:rPr>
          <w:sz w:val="24"/>
        </w:rPr>
      </w:pPr>
      <w:r>
        <w:rPr>
          <w:rFonts w:hint="eastAsia"/>
          <w:sz w:val="24"/>
        </w:rPr>
        <w:t>1 质量控制服务</w:t>
      </w:r>
    </w:p>
    <w:p w14:paraId="1C442ADE">
      <w:pPr>
        <w:widowControl/>
        <w:ind w:firstLine="448" w:firstLineChars="200"/>
        <w:jc w:val="left"/>
        <w:rPr>
          <w:sz w:val="24"/>
        </w:rPr>
      </w:pPr>
      <w:r>
        <w:rPr>
          <w:rFonts w:hint="eastAsia"/>
          <w:sz w:val="24"/>
        </w:rPr>
        <w:t>①督促服务商建立《服务质量保障体系》；</w:t>
      </w:r>
    </w:p>
    <w:p w14:paraId="4AB3F3DE">
      <w:pPr>
        <w:widowControl/>
        <w:ind w:firstLine="448" w:firstLineChars="200"/>
        <w:jc w:val="left"/>
        <w:rPr>
          <w:sz w:val="24"/>
        </w:rPr>
      </w:pPr>
      <w:r>
        <w:rPr>
          <w:rFonts w:hint="eastAsia"/>
          <w:sz w:val="24"/>
        </w:rPr>
        <w:t>②监督服务质量保障体系的落实及其日常运行情况；</w:t>
      </w:r>
    </w:p>
    <w:p w14:paraId="160E730B">
      <w:pPr>
        <w:widowControl/>
        <w:ind w:firstLine="448" w:firstLineChars="200"/>
        <w:jc w:val="left"/>
        <w:rPr>
          <w:sz w:val="24"/>
        </w:rPr>
      </w:pPr>
      <w:r>
        <w:rPr>
          <w:rFonts w:hint="eastAsia"/>
          <w:sz w:val="24"/>
        </w:rPr>
        <w:t>③针对服务过程中的关键事件进行重点控制；</w:t>
      </w:r>
    </w:p>
    <w:p w14:paraId="5C088164">
      <w:pPr>
        <w:widowControl/>
        <w:ind w:firstLine="448" w:firstLineChars="200"/>
        <w:jc w:val="left"/>
        <w:rPr>
          <w:sz w:val="24"/>
        </w:rPr>
      </w:pPr>
      <w:r>
        <w:rPr>
          <w:rFonts w:hint="eastAsia"/>
          <w:sz w:val="24"/>
        </w:rPr>
        <w:t>④检查服务商巡检执行情况；</w:t>
      </w:r>
    </w:p>
    <w:p w14:paraId="1A8F0AF7">
      <w:pPr>
        <w:widowControl/>
        <w:ind w:firstLine="448" w:firstLineChars="200"/>
        <w:jc w:val="left"/>
        <w:rPr>
          <w:sz w:val="24"/>
        </w:rPr>
      </w:pPr>
      <w:r>
        <w:rPr>
          <w:rFonts w:hint="eastAsia"/>
          <w:sz w:val="24"/>
        </w:rPr>
        <w:t>⑤对服务过程重点测试实施质量审查；</w:t>
      </w:r>
    </w:p>
    <w:p w14:paraId="3E298300">
      <w:pPr>
        <w:widowControl/>
        <w:ind w:firstLine="448" w:firstLineChars="200"/>
        <w:jc w:val="left"/>
        <w:rPr>
          <w:sz w:val="24"/>
        </w:rPr>
      </w:pPr>
      <w:r>
        <w:rPr>
          <w:rFonts w:hint="eastAsia"/>
          <w:sz w:val="24"/>
        </w:rPr>
        <w:t>⑥对服务文档质量进行评审。</w:t>
      </w:r>
    </w:p>
    <w:p w14:paraId="6B41ED1A">
      <w:pPr>
        <w:widowControl/>
        <w:ind w:firstLine="448" w:firstLineChars="200"/>
        <w:jc w:val="left"/>
        <w:rPr>
          <w:sz w:val="24"/>
        </w:rPr>
      </w:pPr>
      <w:r>
        <w:rPr>
          <w:rFonts w:hint="eastAsia"/>
          <w:sz w:val="24"/>
        </w:rPr>
        <w:t>2 进度控制服务</w:t>
      </w:r>
    </w:p>
    <w:p w14:paraId="6A2FE1C6">
      <w:pPr>
        <w:widowControl/>
        <w:ind w:firstLine="448" w:firstLineChars="200"/>
        <w:jc w:val="left"/>
        <w:rPr>
          <w:sz w:val="24"/>
        </w:rPr>
      </w:pPr>
      <w:r>
        <w:rPr>
          <w:rFonts w:hint="eastAsia"/>
          <w:sz w:val="24"/>
        </w:rPr>
        <w:t>①审核进度计划的科学性和可执行性；</w:t>
      </w:r>
    </w:p>
    <w:p w14:paraId="6112D251">
      <w:pPr>
        <w:widowControl/>
        <w:ind w:firstLine="448" w:firstLineChars="200"/>
        <w:jc w:val="left"/>
        <w:rPr>
          <w:sz w:val="24"/>
        </w:rPr>
      </w:pPr>
      <w:r>
        <w:rPr>
          <w:rFonts w:hint="eastAsia"/>
          <w:sz w:val="24"/>
        </w:rPr>
        <w:t>②审核进度计划的合理性，包括时间计划合理性，任务安排合理性，工具、人员投入合理性。</w:t>
      </w:r>
    </w:p>
    <w:p w14:paraId="68DEE3DA">
      <w:pPr>
        <w:widowControl/>
        <w:ind w:firstLine="448" w:firstLineChars="200"/>
        <w:jc w:val="left"/>
        <w:rPr>
          <w:sz w:val="24"/>
        </w:rPr>
      </w:pPr>
      <w:r>
        <w:rPr>
          <w:rFonts w:hint="eastAsia"/>
          <w:sz w:val="24"/>
        </w:rPr>
        <w:t>3 投资控制</w:t>
      </w:r>
    </w:p>
    <w:p w14:paraId="2E9E101E">
      <w:pPr>
        <w:widowControl/>
        <w:ind w:firstLine="448" w:firstLineChars="200"/>
        <w:jc w:val="left"/>
        <w:rPr>
          <w:sz w:val="24"/>
        </w:rPr>
      </w:pPr>
      <w:r>
        <w:rPr>
          <w:rFonts w:hint="eastAsia"/>
          <w:sz w:val="24"/>
        </w:rPr>
        <w:t>①协助甲方掌握运行维护预算执行情况；</w:t>
      </w:r>
    </w:p>
    <w:p w14:paraId="4926A67E">
      <w:pPr>
        <w:widowControl/>
        <w:ind w:firstLine="448" w:firstLineChars="200"/>
        <w:jc w:val="left"/>
        <w:rPr>
          <w:sz w:val="24"/>
        </w:rPr>
      </w:pPr>
      <w:r>
        <w:rPr>
          <w:rFonts w:hint="eastAsia"/>
          <w:sz w:val="24"/>
        </w:rPr>
        <w:t>②协助甲方对服务各阶段付款审核并出具付款意见。</w:t>
      </w:r>
    </w:p>
    <w:p w14:paraId="103E618E">
      <w:pPr>
        <w:widowControl/>
        <w:ind w:firstLine="448" w:firstLineChars="200"/>
        <w:jc w:val="left"/>
        <w:rPr>
          <w:sz w:val="24"/>
        </w:rPr>
      </w:pPr>
      <w:r>
        <w:rPr>
          <w:rFonts w:hint="eastAsia"/>
          <w:sz w:val="24"/>
        </w:rPr>
        <w:t>4 安全控制</w:t>
      </w:r>
    </w:p>
    <w:p w14:paraId="47582C14">
      <w:pPr>
        <w:widowControl/>
        <w:ind w:firstLine="448" w:firstLineChars="200"/>
        <w:jc w:val="left"/>
        <w:rPr>
          <w:sz w:val="24"/>
        </w:rPr>
      </w:pPr>
      <w:r>
        <w:rPr>
          <w:rFonts w:hint="eastAsia"/>
          <w:sz w:val="24"/>
        </w:rPr>
        <w:t>①协助甲方进行服务 安全规划；</w:t>
      </w:r>
    </w:p>
    <w:p w14:paraId="20BA65F9">
      <w:pPr>
        <w:widowControl/>
        <w:ind w:firstLine="448" w:firstLineChars="200"/>
        <w:jc w:val="left"/>
        <w:rPr>
          <w:sz w:val="24"/>
        </w:rPr>
      </w:pPr>
      <w:r>
        <w:rPr>
          <w:rFonts w:hint="eastAsia"/>
          <w:sz w:val="24"/>
        </w:rPr>
        <w:t>②督促服务商进行服务安全管理教育；</w:t>
      </w:r>
    </w:p>
    <w:p w14:paraId="66A0F5F0">
      <w:pPr>
        <w:widowControl/>
        <w:ind w:firstLine="448" w:firstLineChars="200"/>
        <w:jc w:val="left"/>
        <w:rPr>
          <w:sz w:val="24"/>
        </w:rPr>
      </w:pPr>
      <w:r>
        <w:rPr>
          <w:rFonts w:hint="eastAsia"/>
          <w:sz w:val="24"/>
        </w:rPr>
        <w:t>③督促服务商建立安全意识，严格执行安全操作规范。</w:t>
      </w:r>
    </w:p>
    <w:p w14:paraId="05E7AF07">
      <w:pPr>
        <w:widowControl/>
        <w:ind w:firstLine="448" w:firstLineChars="200"/>
        <w:jc w:val="left"/>
        <w:rPr>
          <w:sz w:val="24"/>
        </w:rPr>
      </w:pPr>
      <w:r>
        <w:rPr>
          <w:rFonts w:hint="eastAsia"/>
          <w:sz w:val="24"/>
        </w:rPr>
        <w:t>5 合同管理</w:t>
      </w:r>
    </w:p>
    <w:p w14:paraId="2DB0F533">
      <w:pPr>
        <w:widowControl/>
        <w:ind w:firstLine="448" w:firstLineChars="200"/>
        <w:jc w:val="left"/>
        <w:rPr>
          <w:sz w:val="24"/>
        </w:rPr>
      </w:pPr>
      <w:r>
        <w:rPr>
          <w:rFonts w:hint="eastAsia"/>
          <w:sz w:val="24"/>
        </w:rPr>
        <w:t>①在监督合同执行方面，主要包括：促使项目各方对服务合同条款达成一致认识和意见；对服务成果质量和文档进行检查和验收；对服务费用支付申请进行审核，并签发支付意见；</w:t>
      </w:r>
    </w:p>
    <w:p w14:paraId="2CBBD603">
      <w:pPr>
        <w:widowControl/>
        <w:ind w:firstLine="448" w:firstLineChars="200"/>
        <w:jc w:val="left"/>
        <w:rPr>
          <w:sz w:val="24"/>
        </w:rPr>
      </w:pPr>
      <w:r>
        <w:rPr>
          <w:rFonts w:hint="eastAsia"/>
          <w:sz w:val="24"/>
        </w:rPr>
        <w:t>②在服务项目合同变更或索赔事件处理方面，重点关注：积极控制合同变更或索赔事件的发生，审查其必要性及合法有效性；积极做好合同变更或索赔协调，协助收集变更或索赔依据计算相关费用，提出监理意见；</w:t>
      </w:r>
    </w:p>
    <w:p w14:paraId="19B45022">
      <w:pPr>
        <w:widowControl/>
        <w:ind w:firstLine="448" w:firstLineChars="200"/>
        <w:jc w:val="left"/>
        <w:rPr>
          <w:sz w:val="24"/>
        </w:rPr>
      </w:pPr>
      <w:r>
        <w:rPr>
          <w:rFonts w:hint="eastAsia"/>
          <w:sz w:val="24"/>
        </w:rPr>
        <w:t>③协助建立《合同管理制度》，并监督具体落实情况。</w:t>
      </w:r>
    </w:p>
    <w:p w14:paraId="7A1EF261">
      <w:pPr>
        <w:widowControl/>
        <w:ind w:firstLine="448" w:firstLineChars="200"/>
        <w:jc w:val="left"/>
        <w:rPr>
          <w:sz w:val="24"/>
        </w:rPr>
      </w:pPr>
      <w:r>
        <w:rPr>
          <w:rFonts w:hint="eastAsia"/>
          <w:sz w:val="24"/>
        </w:rPr>
        <w:t>6 文档管理</w:t>
      </w:r>
    </w:p>
    <w:p w14:paraId="6B7D76F3">
      <w:pPr>
        <w:widowControl/>
        <w:ind w:firstLine="448" w:firstLineChars="200"/>
        <w:jc w:val="left"/>
        <w:rPr>
          <w:sz w:val="24"/>
        </w:rPr>
      </w:pPr>
      <w:r>
        <w:rPr>
          <w:rFonts w:hint="eastAsia"/>
          <w:sz w:val="24"/>
        </w:rPr>
        <w:t>①协助服务商建立服务过程的文档管理体系和管理计划；</w:t>
      </w:r>
    </w:p>
    <w:p w14:paraId="1A158937">
      <w:pPr>
        <w:widowControl/>
        <w:ind w:firstLine="448" w:firstLineChars="200"/>
        <w:jc w:val="left"/>
        <w:rPr>
          <w:sz w:val="24"/>
        </w:rPr>
      </w:pPr>
      <w:r>
        <w:rPr>
          <w:rFonts w:hint="eastAsia"/>
          <w:sz w:val="24"/>
        </w:rPr>
        <w:t>②检查和评审服务商提交的服务过程中的各类文档和单据。</w:t>
      </w:r>
    </w:p>
    <w:p w14:paraId="4897E28E">
      <w:pPr>
        <w:widowControl/>
        <w:ind w:firstLine="448" w:firstLineChars="200"/>
        <w:jc w:val="left"/>
        <w:rPr>
          <w:sz w:val="24"/>
        </w:rPr>
      </w:pPr>
      <w:r>
        <w:rPr>
          <w:rFonts w:hint="eastAsia"/>
          <w:sz w:val="24"/>
        </w:rPr>
        <w:t>7 配置管理</w:t>
      </w:r>
    </w:p>
    <w:p w14:paraId="755A85A0">
      <w:pPr>
        <w:widowControl/>
        <w:ind w:firstLine="448" w:firstLineChars="200"/>
        <w:jc w:val="left"/>
        <w:rPr>
          <w:sz w:val="24"/>
        </w:rPr>
      </w:pPr>
      <w:r>
        <w:rPr>
          <w:rFonts w:hint="eastAsia"/>
          <w:sz w:val="24"/>
        </w:rPr>
        <w:t>①检查服务商对于配置项的规划和管理工作；</w:t>
      </w:r>
    </w:p>
    <w:p w14:paraId="4D9C67DA">
      <w:pPr>
        <w:widowControl/>
        <w:ind w:firstLine="448" w:firstLineChars="200"/>
        <w:jc w:val="left"/>
        <w:rPr>
          <w:sz w:val="24"/>
        </w:rPr>
      </w:pPr>
      <w:r>
        <w:rPr>
          <w:rFonts w:hint="eastAsia"/>
          <w:sz w:val="24"/>
        </w:rPr>
        <w:t>②审核服务过程中的配置管理项变更及发布管理过程；</w:t>
      </w:r>
    </w:p>
    <w:p w14:paraId="7A614D65">
      <w:pPr>
        <w:widowControl/>
        <w:ind w:firstLine="448" w:firstLineChars="200"/>
        <w:jc w:val="left"/>
        <w:rPr>
          <w:sz w:val="24"/>
        </w:rPr>
      </w:pPr>
      <w:r>
        <w:rPr>
          <w:rFonts w:hint="eastAsia"/>
          <w:sz w:val="24"/>
        </w:rPr>
        <w:t>③执行配置管理抽检。</w:t>
      </w:r>
    </w:p>
    <w:p w14:paraId="336F1813">
      <w:pPr>
        <w:widowControl/>
        <w:ind w:firstLine="448" w:firstLineChars="200"/>
        <w:jc w:val="left"/>
        <w:rPr>
          <w:sz w:val="24"/>
        </w:rPr>
      </w:pPr>
      <w:r>
        <w:rPr>
          <w:rFonts w:hint="eastAsia"/>
          <w:sz w:val="24"/>
        </w:rPr>
        <w:t>8 应急管理</w:t>
      </w:r>
    </w:p>
    <w:p w14:paraId="1D22DA9E">
      <w:pPr>
        <w:widowControl/>
        <w:ind w:firstLine="448" w:firstLineChars="200"/>
        <w:jc w:val="left"/>
        <w:rPr>
          <w:sz w:val="24"/>
        </w:rPr>
      </w:pPr>
      <w:r>
        <w:rPr>
          <w:rFonts w:hint="eastAsia"/>
          <w:sz w:val="24"/>
        </w:rPr>
        <w:t>①在应急管理准备方面，主要包括：督促服务商建立《应急预案》；评审应急管理方案；检查服务商对于应急管理方案的培训和演练；</w:t>
      </w:r>
    </w:p>
    <w:p w14:paraId="61A61EC1">
      <w:pPr>
        <w:widowControl/>
        <w:ind w:firstLine="448" w:firstLineChars="200"/>
        <w:jc w:val="left"/>
        <w:rPr>
          <w:sz w:val="24"/>
        </w:rPr>
      </w:pPr>
      <w:r>
        <w:rPr>
          <w:rFonts w:hint="eastAsia"/>
          <w:sz w:val="24"/>
        </w:rPr>
        <w:t>②在监测与预警方面。主要包括：检查服务商指定的日常监测和预警机制和制度；检查服务商提交的日常监测和预警记录和报告；协助服务商优化日常监测和预警方案和制度；</w:t>
      </w:r>
    </w:p>
    <w:p w14:paraId="2F0448A0">
      <w:pPr>
        <w:widowControl/>
        <w:ind w:firstLine="448" w:firstLineChars="200"/>
        <w:jc w:val="left"/>
        <w:rPr>
          <w:sz w:val="24"/>
        </w:rPr>
      </w:pPr>
      <w:r>
        <w:rPr>
          <w:rFonts w:hint="eastAsia"/>
          <w:sz w:val="24"/>
        </w:rPr>
        <w:t>③在应急处置工作方面，主要包括：跟踪应急事件的诊断排查、处置、恢复等过程；跟踪因应急事件发展程度超出原定事件界别后升级的诊断、排查、处置、恢复等过程；评估和总结应急事件处置结果；</w:t>
      </w:r>
    </w:p>
    <w:p w14:paraId="20C5E3F0">
      <w:pPr>
        <w:widowControl/>
        <w:ind w:firstLine="448" w:firstLineChars="200"/>
        <w:jc w:val="left"/>
        <w:rPr>
          <w:sz w:val="24"/>
        </w:rPr>
      </w:pPr>
      <w:r>
        <w:rPr>
          <w:rFonts w:hint="eastAsia"/>
          <w:sz w:val="24"/>
        </w:rPr>
        <w:t>④在应急管理改进方面，主要包括：协助优化和改进应急方案；做好因应急事件带来的索赔等相关工作。</w:t>
      </w:r>
    </w:p>
    <w:p w14:paraId="138BE0D0">
      <w:pPr>
        <w:widowControl/>
        <w:ind w:firstLine="448" w:firstLineChars="200"/>
        <w:jc w:val="left"/>
        <w:rPr>
          <w:sz w:val="24"/>
        </w:rPr>
      </w:pPr>
      <w:r>
        <w:rPr>
          <w:rFonts w:hint="eastAsia"/>
          <w:sz w:val="24"/>
        </w:rPr>
        <w:t>9 效能管理</w:t>
      </w:r>
    </w:p>
    <w:p w14:paraId="0573AC1D">
      <w:pPr>
        <w:widowControl/>
        <w:ind w:firstLine="448" w:firstLineChars="200"/>
        <w:jc w:val="left"/>
        <w:rPr>
          <w:sz w:val="24"/>
        </w:rPr>
      </w:pPr>
      <w:r>
        <w:rPr>
          <w:rFonts w:hint="eastAsia"/>
          <w:sz w:val="24"/>
        </w:rPr>
        <w:t>①协助甲方建立《服务绩效考核管理体系》；</w:t>
      </w:r>
    </w:p>
    <w:p w14:paraId="350C89A9">
      <w:pPr>
        <w:widowControl/>
        <w:ind w:firstLine="448" w:firstLineChars="200"/>
        <w:jc w:val="left"/>
        <w:rPr>
          <w:sz w:val="24"/>
        </w:rPr>
      </w:pPr>
      <w:r>
        <w:rPr>
          <w:rFonts w:hint="eastAsia"/>
          <w:sz w:val="24"/>
        </w:rPr>
        <w:t>②收集绩效考试指标项量化数值、数据或记录等，进行绩效考核打分；</w:t>
      </w:r>
    </w:p>
    <w:p w14:paraId="6C2690C7">
      <w:pPr>
        <w:widowControl/>
        <w:ind w:firstLine="448" w:firstLineChars="200"/>
        <w:jc w:val="left"/>
        <w:rPr>
          <w:sz w:val="24"/>
        </w:rPr>
      </w:pPr>
      <w:r>
        <w:rPr>
          <w:rFonts w:hint="eastAsia"/>
          <w:sz w:val="24"/>
        </w:rPr>
        <w:t>③提交绩效考核报告和监理意见。</w:t>
      </w:r>
    </w:p>
    <w:p w14:paraId="764E7554">
      <w:pPr>
        <w:widowControl/>
        <w:ind w:firstLine="448" w:firstLineChars="200"/>
        <w:jc w:val="left"/>
        <w:rPr>
          <w:sz w:val="24"/>
        </w:rPr>
      </w:pPr>
      <w:r>
        <w:rPr>
          <w:rFonts w:hint="eastAsia"/>
          <w:sz w:val="24"/>
        </w:rPr>
        <w:t>10 协调</w:t>
      </w:r>
    </w:p>
    <w:p w14:paraId="1CE6DB52">
      <w:pPr>
        <w:widowControl/>
        <w:ind w:firstLine="448" w:firstLineChars="200"/>
        <w:jc w:val="left"/>
        <w:rPr>
          <w:sz w:val="24"/>
        </w:rPr>
      </w:pPr>
      <w:r>
        <w:rPr>
          <w:rFonts w:hint="eastAsia"/>
          <w:sz w:val="24"/>
        </w:rPr>
        <w:t>①建立运行服务管理组织架构、工作协调组织结构；</w:t>
      </w:r>
    </w:p>
    <w:p w14:paraId="4C1FAC2E">
      <w:pPr>
        <w:widowControl/>
        <w:ind w:firstLine="448" w:firstLineChars="200"/>
        <w:jc w:val="left"/>
        <w:rPr>
          <w:sz w:val="24"/>
        </w:rPr>
      </w:pPr>
      <w:r>
        <w:rPr>
          <w:rFonts w:hint="eastAsia"/>
          <w:sz w:val="24"/>
        </w:rPr>
        <w:t>②建立监理机构与甲方、服务方之间的协调关系和信息传递机制；</w:t>
      </w:r>
    </w:p>
    <w:p w14:paraId="4B6093F5">
      <w:pPr>
        <w:widowControl/>
        <w:ind w:firstLine="448" w:firstLineChars="200"/>
        <w:jc w:val="left"/>
        <w:rPr>
          <w:sz w:val="24"/>
        </w:rPr>
      </w:pPr>
      <w:r>
        <w:rPr>
          <w:rFonts w:hint="eastAsia"/>
          <w:sz w:val="24"/>
        </w:rPr>
        <w:t>③定期召开服务工作监理例会，并形成《会议纪要》；</w:t>
      </w:r>
    </w:p>
    <w:p w14:paraId="109DF7C4">
      <w:pPr>
        <w:widowControl/>
        <w:ind w:firstLine="448" w:firstLineChars="200"/>
        <w:jc w:val="left"/>
        <w:rPr>
          <w:sz w:val="24"/>
        </w:rPr>
      </w:pPr>
      <w:r>
        <w:rPr>
          <w:rFonts w:hint="eastAsia"/>
          <w:sz w:val="24"/>
        </w:rPr>
        <w:t>④在需要时，召开服务工作监理专题会，并形成《会议纪要》。</w:t>
      </w:r>
    </w:p>
    <w:p w14:paraId="6276A8CE">
      <w:pPr>
        <w:widowControl/>
        <w:ind w:firstLine="448" w:firstLineChars="200"/>
        <w:jc w:val="left"/>
        <w:rPr>
          <w:sz w:val="24"/>
        </w:rPr>
      </w:pPr>
      <w:r>
        <w:rPr>
          <w:rFonts w:hint="eastAsia"/>
          <w:sz w:val="24"/>
        </w:rPr>
        <w:t>11 输出文档</w:t>
      </w:r>
    </w:p>
    <w:p w14:paraId="5E8EAF2A">
      <w:pPr>
        <w:keepLines w:val="0"/>
        <w:pageBreakBefore w:val="0"/>
        <w:widowControl w:val="0"/>
        <w:kinsoku/>
        <w:wordWrap/>
        <w:overflowPunct/>
        <w:bidi w:val="0"/>
        <w:ind w:firstLine="448" w:firstLineChars="200"/>
        <w:jc w:val="left"/>
        <w:rPr>
          <w:rFonts w:hint="eastAsia"/>
          <w:color w:val="auto"/>
          <w:sz w:val="24"/>
        </w:rPr>
      </w:pPr>
      <w:r>
        <w:rPr>
          <w:rFonts w:hint="eastAsia"/>
          <w:sz w:val="24"/>
        </w:rPr>
        <w:t>监理规划，监理细则，监理会议纪要，监理专题会议纪要，监理周报，监理月报，文档评审意见，针对各种事项提出的监理意见，监理联系单，监理通知单，服务督办表，服务考评制度方案，绩效考核记录和报告，监理验收意见，服务验收记录，服务评估报告，服务费用支付意见，监理工作总结报告等，具体以实际工作输出文档为准。</w:t>
      </w:r>
    </w:p>
    <w:p w14:paraId="7C44F7B3">
      <w:pPr>
        <w:keepLines w:val="0"/>
        <w:pageBreakBefore w:val="0"/>
        <w:widowControl w:val="0"/>
        <w:kinsoku/>
        <w:wordWrap/>
        <w:overflowPunct/>
        <w:bidi w:val="0"/>
        <w:ind w:firstLine="448" w:firstLineChars="200"/>
        <w:jc w:val="left"/>
        <w:rPr>
          <w:rFonts w:hint="eastAsia"/>
          <w:color w:val="auto"/>
          <w:sz w:val="24"/>
        </w:rPr>
        <w:sectPr>
          <w:headerReference r:id="rId4"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pPr>
    </w:p>
    <w:p w14:paraId="6D4CB4CB">
      <w:pPr>
        <w:spacing w:line="360" w:lineRule="auto"/>
        <w:ind w:firstLine="448" w:firstLineChars="200"/>
        <w:jc w:val="center"/>
        <w:outlineLvl w:val="0"/>
        <w:rPr>
          <w:b/>
          <w:sz w:val="24"/>
        </w:rPr>
      </w:pPr>
    </w:p>
    <w:p w14:paraId="03E8E1AA">
      <w:pPr>
        <w:spacing w:line="360" w:lineRule="auto"/>
        <w:ind w:firstLine="448" w:firstLineChars="200"/>
        <w:jc w:val="center"/>
        <w:outlineLvl w:val="0"/>
        <w:rPr>
          <w:b/>
          <w:sz w:val="24"/>
        </w:rPr>
      </w:pPr>
    </w:p>
    <w:p w14:paraId="60219E7E">
      <w:pPr>
        <w:spacing w:line="360" w:lineRule="auto"/>
        <w:ind w:firstLine="448" w:firstLineChars="200"/>
        <w:jc w:val="center"/>
        <w:outlineLvl w:val="0"/>
        <w:rPr>
          <w:b/>
          <w:sz w:val="24"/>
        </w:rPr>
      </w:pPr>
    </w:p>
    <w:p w14:paraId="0582B096">
      <w:pPr>
        <w:spacing w:line="360" w:lineRule="auto"/>
        <w:ind w:firstLine="448" w:firstLineChars="200"/>
        <w:jc w:val="center"/>
        <w:outlineLvl w:val="0"/>
        <w:rPr>
          <w:b/>
          <w:sz w:val="24"/>
        </w:rPr>
      </w:pPr>
    </w:p>
    <w:p w14:paraId="69831DF4">
      <w:pPr>
        <w:spacing w:line="360" w:lineRule="auto"/>
        <w:ind w:firstLine="448" w:firstLineChars="200"/>
        <w:jc w:val="center"/>
        <w:outlineLvl w:val="0"/>
        <w:rPr>
          <w:b/>
          <w:sz w:val="24"/>
        </w:rPr>
      </w:pPr>
    </w:p>
    <w:p w14:paraId="4EBDBD39">
      <w:pPr>
        <w:spacing w:line="360" w:lineRule="auto"/>
        <w:jc w:val="center"/>
        <w:rPr>
          <w:sz w:val="24"/>
        </w:rPr>
      </w:pPr>
      <w:r>
        <w:rPr>
          <w:sz w:val="24"/>
          <w:u w:val="single"/>
        </w:rPr>
        <w:br w:type="page"/>
      </w:r>
    </w:p>
    <w:p w14:paraId="3A4AF121">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0F61393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1EF5D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5B365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6B4890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61F3A4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0ED8F3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3337A4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11F8F3F8">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120D784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5F0745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65039E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D1861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2BD756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61C67B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C893208">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4CAB1DD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094B26E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020B6D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CBA949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6F7E6A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3435432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26ADBCB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1A8361A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559B6A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2B7E32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212DD36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8384B0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2C73FD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7DC3EF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5C4C98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71A0E8E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8A41CC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793F125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3C0B8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2181E58">
      <w:pPr>
        <w:pStyle w:val="29"/>
        <w:spacing w:line="360" w:lineRule="auto"/>
        <w:ind w:firstLine="448" w:firstLineChars="200"/>
        <w:jc w:val="both"/>
        <w:rPr>
          <w:rFonts w:ascii="Times New Roman" w:hAnsi="Times New Roman" w:eastAsia="宋体" w:cs="Times New Roman"/>
          <w:color w:val="auto"/>
        </w:rPr>
      </w:pPr>
      <w:bookmarkStart w:id="5" w:name="OLE_LINK5"/>
      <w:bookmarkStart w:id="6"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24CF9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03CA06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2814DC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D4D74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7FB4B0C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61D882D2">
      <w:pPr>
        <w:pStyle w:val="29"/>
        <w:spacing w:line="360" w:lineRule="auto"/>
        <w:ind w:firstLine="448" w:firstLineChars="200"/>
        <w:jc w:val="both"/>
        <w:rPr>
          <w:rFonts w:ascii="Times New Roman" w:hAnsi="Times New Roman" w:eastAsia="宋体" w:cs="Times New Roman"/>
          <w:color w:val="auto"/>
        </w:rPr>
      </w:pPr>
    </w:p>
    <w:bookmarkEnd w:id="5"/>
    <w:bookmarkEnd w:id="6"/>
    <w:p w14:paraId="3A0541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F53C6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D6B75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12AA13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4882B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1BDC98D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C0840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35F03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0AA74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7F451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4CE71FA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4D5BDA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8824E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707412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D32967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A024A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00EA57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B7E17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E6D516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DAC93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2882C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201570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205B0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3C7196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3AC4A2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9F164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0F8E93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8AC4C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F358E9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AEAB0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DCB6FF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C7534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797F1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201543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6C567E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44BF0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CE6A5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122EA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10EB89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37E2B8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1B1E201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2D68F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F9C75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84271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C227A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A15CD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D7D82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22FE4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0F2620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E328C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E46A7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50A0F8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36162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A2DAC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17C0CA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1D079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541D93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5A01D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4DC7AB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5E04EE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22759C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431D6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7D9AF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0A99FF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47EDD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960FD75">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2D6574C3">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4A60F83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5D619DA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201CE7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1AA245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21731A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75D492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59A90D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1284B3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032467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F3D64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18582E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C6CAE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2A04B96">
      <w:pPr>
        <w:pStyle w:val="29"/>
        <w:spacing w:line="360" w:lineRule="auto"/>
        <w:ind w:firstLine="448"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86EDE96">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21.4</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514FE65C">
      <w:pPr>
        <w:pStyle w:val="29"/>
        <w:spacing w:line="360" w:lineRule="auto"/>
        <w:ind w:firstLine="448" w:firstLineChars="200"/>
        <w:jc w:val="both"/>
        <w:rPr>
          <w:rFonts w:hint="default" w:ascii="Times New Roman" w:hAnsi="Times New Roman" w:eastAsia="宋体" w:cs="Times New Roman"/>
          <w:color w:val="auto"/>
          <w:lang w:val="en-US" w:eastAsia="zh-CN"/>
        </w:rPr>
      </w:pPr>
    </w:p>
    <w:p w14:paraId="0944C91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1B552C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B23D3C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6C53D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30A2E0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83ED76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24EE30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05531E6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1E517B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77F11B0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4704F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7B875BA">
      <w:pPr>
        <w:pStyle w:val="29"/>
        <w:spacing w:line="360" w:lineRule="auto"/>
        <w:ind w:firstLine="448" w:firstLineChars="200"/>
        <w:jc w:val="both"/>
        <w:rPr>
          <w:rFonts w:ascii="Times New Roman" w:hAnsi="Times New Roman" w:eastAsia="宋体" w:cs="Times New Roman"/>
          <w:color w:val="auto"/>
        </w:rPr>
      </w:pPr>
    </w:p>
    <w:p w14:paraId="599C3DF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93DAA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68FE3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9391B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671328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0E21B3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2B156C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ABD6B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1A3894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4D460F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C2F8EB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D8FFF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0A2A42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70D898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221F31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90899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F03C0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36835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1A1024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6F4E9B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416260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6ECE2D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111E01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C5D65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E3C86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542CB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D816C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DF0E7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5BAADE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BBE970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9498AD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86DD52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4F820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BFCA7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42AE2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2DD21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486FD8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148D62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15D26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ABEF5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6D38C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BBD65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D56A4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4B5721D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71ECA8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CBCE4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1F2AE1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EB596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5A179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70B14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09C2D8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4AC2D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17246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73E37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1EDE34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5A51C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5569B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426A7C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856F67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17A24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6A1A76CA">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29DD4561">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5F00AEB3">
      <w:pPr>
        <w:pStyle w:val="29"/>
        <w:spacing w:line="360" w:lineRule="auto"/>
        <w:ind w:firstLine="448" w:firstLineChars="200"/>
        <w:rPr>
          <w:rFonts w:ascii="Times New Roman" w:hAnsi="Times New Roman" w:eastAsia="宋体" w:cs="Times New Roman"/>
          <w:color w:val="auto"/>
        </w:rPr>
      </w:pPr>
    </w:p>
    <w:p w14:paraId="269F63F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994FD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83D91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61B70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72596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A781A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E6B17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2D6DE4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5427B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B52FD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0727C48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AC55A6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064772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80176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4817557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700D41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90CBDE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2BD72D2">
      <w:pPr>
        <w:pStyle w:val="29"/>
        <w:spacing w:line="360" w:lineRule="auto"/>
        <w:ind w:firstLine="448" w:firstLineChars="200"/>
        <w:jc w:val="both"/>
        <w:rPr>
          <w:rFonts w:ascii="Times New Roman" w:hAnsi="Times New Roman" w:eastAsia="宋体" w:cs="Times New Roman"/>
          <w:color w:val="auto"/>
        </w:rPr>
      </w:pPr>
    </w:p>
    <w:p w14:paraId="7A15804C">
      <w:pPr>
        <w:widowControl/>
        <w:jc w:val="left"/>
        <w:rPr>
          <w:b/>
          <w:bCs/>
          <w:kern w:val="28"/>
          <w:sz w:val="32"/>
          <w:szCs w:val="32"/>
          <w:lang w:val="zh-CN" w:eastAsia="zh-CN"/>
        </w:rPr>
      </w:pPr>
      <w:r>
        <w:br w:type="page"/>
      </w:r>
    </w:p>
    <w:p w14:paraId="658BF9B6">
      <w:pPr>
        <w:pStyle w:val="16"/>
        <w:rPr>
          <w:rFonts w:ascii="Times New Roman" w:hAnsi="Times New Roman"/>
        </w:rPr>
      </w:pPr>
      <w:r>
        <w:rPr>
          <w:rFonts w:ascii="Times New Roman" w:hAnsi="Times New Roman"/>
        </w:rPr>
        <w:t>第四部分  合同条款</w:t>
      </w:r>
    </w:p>
    <w:p w14:paraId="5E6A2DF1">
      <w:pPr>
        <w:tabs>
          <w:tab w:val="left" w:pos="412"/>
          <w:tab w:val="left" w:pos="618"/>
        </w:tabs>
        <w:spacing w:line="520" w:lineRule="exact"/>
        <w:jc w:val="center"/>
        <w:rPr>
          <w:b/>
          <w:sz w:val="30"/>
          <w:szCs w:val="30"/>
        </w:rPr>
      </w:pPr>
      <w:r>
        <w:rPr>
          <w:b/>
          <w:sz w:val="30"/>
          <w:szCs w:val="30"/>
        </w:rPr>
        <w:t>合同一般条款</w:t>
      </w:r>
    </w:p>
    <w:p w14:paraId="662186AA">
      <w:pPr>
        <w:tabs>
          <w:tab w:val="left" w:pos="0"/>
          <w:tab w:val="left" w:pos="315"/>
        </w:tabs>
        <w:spacing w:line="520" w:lineRule="exact"/>
        <w:ind w:firstLine="480"/>
        <w:rPr>
          <w:sz w:val="24"/>
          <w:szCs w:val="24"/>
        </w:rPr>
      </w:pPr>
      <w:r>
        <w:rPr>
          <w:sz w:val="24"/>
          <w:szCs w:val="24"/>
        </w:rPr>
        <w:t xml:space="preserve">需方：  </w:t>
      </w:r>
    </w:p>
    <w:p w14:paraId="391E5C6D">
      <w:pPr>
        <w:tabs>
          <w:tab w:val="left" w:pos="0"/>
          <w:tab w:val="left" w:pos="315"/>
        </w:tabs>
        <w:spacing w:line="520" w:lineRule="exact"/>
        <w:ind w:firstLine="480"/>
        <w:rPr>
          <w:sz w:val="24"/>
          <w:szCs w:val="24"/>
        </w:rPr>
      </w:pPr>
      <w:r>
        <w:rPr>
          <w:sz w:val="24"/>
          <w:szCs w:val="24"/>
        </w:rPr>
        <w:t xml:space="preserve">供方： </w:t>
      </w:r>
    </w:p>
    <w:p w14:paraId="17E58643">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3F4ED241">
      <w:pPr>
        <w:pStyle w:val="34"/>
        <w:numPr>
          <w:ilvl w:val="0"/>
          <w:numId w:val="4"/>
        </w:numPr>
        <w:spacing w:line="480" w:lineRule="exact"/>
        <w:ind w:firstLineChars="0"/>
        <w:rPr>
          <w:sz w:val="24"/>
          <w:szCs w:val="24"/>
        </w:rPr>
      </w:pPr>
      <w:r>
        <w:rPr>
          <w:rFonts w:hint="eastAsia"/>
          <w:sz w:val="24"/>
          <w:szCs w:val="24"/>
        </w:rPr>
        <w:t>本合同为中小企业预留合同</w:t>
      </w:r>
    </w:p>
    <w:p w14:paraId="5DB7DF95">
      <w:pPr>
        <w:pStyle w:val="34"/>
        <w:numPr>
          <w:ilvl w:val="0"/>
          <w:numId w:val="4"/>
        </w:numPr>
        <w:spacing w:line="480" w:lineRule="exact"/>
        <w:ind w:firstLineChars="0"/>
        <w:rPr>
          <w:sz w:val="24"/>
          <w:szCs w:val="24"/>
        </w:rPr>
      </w:pPr>
      <w:r>
        <w:rPr>
          <w:rFonts w:hint="eastAsia"/>
          <w:sz w:val="24"/>
          <w:szCs w:val="24"/>
        </w:rPr>
        <w:t>本合同非中小企业预留合同</w:t>
      </w:r>
    </w:p>
    <w:p w14:paraId="2FA90920">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8526BD5">
      <w:pPr>
        <w:tabs>
          <w:tab w:val="left" w:pos="1133"/>
        </w:tabs>
        <w:spacing w:line="520" w:lineRule="exact"/>
        <w:ind w:firstLine="448" w:firstLineChars="200"/>
        <w:rPr>
          <w:sz w:val="24"/>
          <w:szCs w:val="24"/>
        </w:rPr>
      </w:pPr>
      <w:r>
        <w:rPr>
          <w:sz w:val="24"/>
          <w:szCs w:val="24"/>
        </w:rPr>
        <w:t>一、采购内容：  （详见附件）</w:t>
      </w:r>
    </w:p>
    <w:p w14:paraId="6004222A">
      <w:pPr>
        <w:tabs>
          <w:tab w:val="left" w:pos="1133"/>
        </w:tabs>
        <w:spacing w:line="520" w:lineRule="exact"/>
        <w:ind w:firstLine="448" w:firstLineChars="200"/>
        <w:rPr>
          <w:sz w:val="24"/>
          <w:szCs w:val="24"/>
        </w:rPr>
      </w:pPr>
      <w:r>
        <w:rPr>
          <w:sz w:val="24"/>
          <w:szCs w:val="24"/>
        </w:rPr>
        <w:t xml:space="preserve">    合同总价款：人民币  元</w:t>
      </w:r>
    </w:p>
    <w:p w14:paraId="570222CD">
      <w:pPr>
        <w:tabs>
          <w:tab w:val="left" w:pos="1133"/>
        </w:tabs>
        <w:spacing w:line="520" w:lineRule="exact"/>
        <w:ind w:firstLine="448" w:firstLineChars="200"/>
        <w:rPr>
          <w:sz w:val="24"/>
          <w:szCs w:val="24"/>
        </w:rPr>
      </w:pPr>
      <w:r>
        <w:rPr>
          <w:sz w:val="24"/>
          <w:szCs w:val="24"/>
        </w:rPr>
        <w:t xml:space="preserve">    大写：人民币  元整</w:t>
      </w:r>
    </w:p>
    <w:p w14:paraId="4C77DA52">
      <w:pPr>
        <w:tabs>
          <w:tab w:val="left" w:pos="360"/>
        </w:tabs>
        <w:spacing w:line="520" w:lineRule="exact"/>
        <w:ind w:firstLine="448" w:firstLineChars="200"/>
        <w:rPr>
          <w:sz w:val="24"/>
          <w:szCs w:val="24"/>
        </w:rPr>
      </w:pPr>
      <w:r>
        <w:rPr>
          <w:sz w:val="24"/>
          <w:szCs w:val="24"/>
        </w:rPr>
        <w:t>二、质量要求及对质量负责条件和期限：见附件。</w:t>
      </w:r>
    </w:p>
    <w:p w14:paraId="2C00A7BF">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C91A2C1">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486701ED">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EC8F91A">
      <w:pPr>
        <w:tabs>
          <w:tab w:val="left" w:pos="360"/>
          <w:tab w:val="left" w:pos="721"/>
        </w:tabs>
        <w:spacing w:line="520" w:lineRule="exact"/>
        <w:rPr>
          <w:sz w:val="24"/>
          <w:szCs w:val="24"/>
        </w:rPr>
      </w:pPr>
      <w:r>
        <w:rPr>
          <w:sz w:val="24"/>
          <w:szCs w:val="24"/>
        </w:rPr>
        <w:t xml:space="preserve">    六、验收工作由需方负责对合同进行验收。</w:t>
      </w:r>
    </w:p>
    <w:p w14:paraId="531DC856">
      <w:pPr>
        <w:tabs>
          <w:tab w:val="left" w:pos="360"/>
        </w:tabs>
        <w:spacing w:line="520" w:lineRule="exact"/>
        <w:rPr>
          <w:sz w:val="24"/>
          <w:szCs w:val="24"/>
        </w:rPr>
      </w:pPr>
      <w:r>
        <w:rPr>
          <w:sz w:val="24"/>
          <w:szCs w:val="24"/>
        </w:rPr>
        <w:t xml:space="preserve">    七、货款支付方式：见附件。</w:t>
      </w:r>
    </w:p>
    <w:p w14:paraId="749586B0">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377DDC77">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78AACF03">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26E0BC8C">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4E16CB7C">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0ABBF0AD">
        <w:tblPrEx>
          <w:tblCellMar>
            <w:top w:w="0" w:type="dxa"/>
            <w:left w:w="108" w:type="dxa"/>
            <w:bottom w:w="0" w:type="dxa"/>
            <w:right w:w="108" w:type="dxa"/>
          </w:tblCellMar>
        </w:tblPrEx>
        <w:tc>
          <w:tcPr>
            <w:tcW w:w="4261" w:type="dxa"/>
          </w:tcPr>
          <w:p w14:paraId="443EEE83">
            <w:pPr>
              <w:tabs>
                <w:tab w:val="left" w:pos="0"/>
                <w:tab w:val="left" w:pos="315"/>
              </w:tabs>
              <w:spacing w:line="520" w:lineRule="exact"/>
              <w:rPr>
                <w:sz w:val="24"/>
                <w:szCs w:val="24"/>
              </w:rPr>
            </w:pPr>
            <w:r>
              <w:rPr>
                <w:sz w:val="24"/>
                <w:szCs w:val="24"/>
              </w:rPr>
              <w:t xml:space="preserve">供方（公章）： </w:t>
            </w:r>
          </w:p>
        </w:tc>
        <w:tc>
          <w:tcPr>
            <w:tcW w:w="4261" w:type="dxa"/>
          </w:tcPr>
          <w:p w14:paraId="6F7F3FD9">
            <w:pPr>
              <w:tabs>
                <w:tab w:val="left" w:pos="0"/>
                <w:tab w:val="left" w:pos="315"/>
              </w:tabs>
              <w:spacing w:line="520" w:lineRule="exact"/>
              <w:rPr>
                <w:sz w:val="24"/>
                <w:szCs w:val="24"/>
              </w:rPr>
            </w:pPr>
            <w:r>
              <w:rPr>
                <w:sz w:val="24"/>
                <w:szCs w:val="24"/>
              </w:rPr>
              <w:t xml:space="preserve">需方（公章）： </w:t>
            </w:r>
          </w:p>
        </w:tc>
      </w:tr>
      <w:tr w14:paraId="18681049">
        <w:tblPrEx>
          <w:tblCellMar>
            <w:top w:w="0" w:type="dxa"/>
            <w:left w:w="108" w:type="dxa"/>
            <w:bottom w:w="0" w:type="dxa"/>
            <w:right w:w="108" w:type="dxa"/>
          </w:tblCellMar>
        </w:tblPrEx>
        <w:tc>
          <w:tcPr>
            <w:tcW w:w="4261" w:type="dxa"/>
          </w:tcPr>
          <w:p w14:paraId="49E0D516">
            <w:pPr>
              <w:tabs>
                <w:tab w:val="left" w:pos="0"/>
                <w:tab w:val="left" w:pos="315"/>
              </w:tabs>
              <w:spacing w:line="520" w:lineRule="exact"/>
              <w:rPr>
                <w:sz w:val="24"/>
                <w:szCs w:val="24"/>
              </w:rPr>
            </w:pPr>
            <w:r>
              <w:rPr>
                <w:sz w:val="24"/>
                <w:szCs w:val="24"/>
              </w:rPr>
              <w:t xml:space="preserve">地址：  </w:t>
            </w:r>
          </w:p>
        </w:tc>
        <w:tc>
          <w:tcPr>
            <w:tcW w:w="4261" w:type="dxa"/>
          </w:tcPr>
          <w:p w14:paraId="055C6994">
            <w:pPr>
              <w:tabs>
                <w:tab w:val="left" w:pos="0"/>
                <w:tab w:val="left" w:pos="315"/>
              </w:tabs>
              <w:spacing w:line="520" w:lineRule="exact"/>
              <w:rPr>
                <w:sz w:val="24"/>
                <w:szCs w:val="24"/>
              </w:rPr>
            </w:pPr>
            <w:r>
              <w:rPr>
                <w:sz w:val="24"/>
                <w:szCs w:val="24"/>
              </w:rPr>
              <w:t xml:space="preserve">地址： </w:t>
            </w:r>
          </w:p>
        </w:tc>
      </w:tr>
      <w:tr w14:paraId="0A6DB448">
        <w:tblPrEx>
          <w:tblCellMar>
            <w:top w:w="0" w:type="dxa"/>
            <w:left w:w="108" w:type="dxa"/>
            <w:bottom w:w="0" w:type="dxa"/>
            <w:right w:w="108" w:type="dxa"/>
          </w:tblCellMar>
        </w:tblPrEx>
        <w:tc>
          <w:tcPr>
            <w:tcW w:w="4261" w:type="dxa"/>
          </w:tcPr>
          <w:p w14:paraId="6B617496">
            <w:pPr>
              <w:tabs>
                <w:tab w:val="left" w:pos="360"/>
              </w:tabs>
              <w:spacing w:line="520" w:lineRule="exact"/>
              <w:rPr>
                <w:sz w:val="24"/>
                <w:szCs w:val="24"/>
              </w:rPr>
            </w:pPr>
            <w:r>
              <w:rPr>
                <w:sz w:val="24"/>
                <w:szCs w:val="24"/>
              </w:rPr>
              <w:t xml:space="preserve">法定代表人： </w:t>
            </w:r>
          </w:p>
        </w:tc>
        <w:tc>
          <w:tcPr>
            <w:tcW w:w="4261" w:type="dxa"/>
          </w:tcPr>
          <w:p w14:paraId="44132FA7">
            <w:pPr>
              <w:tabs>
                <w:tab w:val="left" w:pos="360"/>
              </w:tabs>
              <w:spacing w:line="520" w:lineRule="exact"/>
              <w:rPr>
                <w:sz w:val="24"/>
                <w:szCs w:val="24"/>
              </w:rPr>
            </w:pPr>
            <w:r>
              <w:rPr>
                <w:sz w:val="24"/>
                <w:szCs w:val="24"/>
              </w:rPr>
              <w:t xml:space="preserve">法定代表人： </w:t>
            </w:r>
          </w:p>
        </w:tc>
      </w:tr>
      <w:tr w14:paraId="005349EE">
        <w:tblPrEx>
          <w:tblCellMar>
            <w:top w:w="0" w:type="dxa"/>
            <w:left w:w="108" w:type="dxa"/>
            <w:bottom w:w="0" w:type="dxa"/>
            <w:right w:w="108" w:type="dxa"/>
          </w:tblCellMar>
        </w:tblPrEx>
        <w:tc>
          <w:tcPr>
            <w:tcW w:w="4261" w:type="dxa"/>
          </w:tcPr>
          <w:p w14:paraId="1E585EC1">
            <w:pPr>
              <w:tabs>
                <w:tab w:val="left" w:pos="360"/>
              </w:tabs>
              <w:spacing w:line="520" w:lineRule="exact"/>
              <w:rPr>
                <w:sz w:val="24"/>
                <w:szCs w:val="24"/>
              </w:rPr>
            </w:pPr>
            <w:r>
              <w:rPr>
                <w:sz w:val="24"/>
                <w:szCs w:val="24"/>
              </w:rPr>
              <w:t xml:space="preserve">委托代理人： </w:t>
            </w:r>
          </w:p>
        </w:tc>
        <w:tc>
          <w:tcPr>
            <w:tcW w:w="4261" w:type="dxa"/>
          </w:tcPr>
          <w:p w14:paraId="6ACD09F5">
            <w:pPr>
              <w:tabs>
                <w:tab w:val="left" w:pos="360"/>
              </w:tabs>
              <w:spacing w:line="520" w:lineRule="exact"/>
              <w:rPr>
                <w:sz w:val="24"/>
                <w:szCs w:val="24"/>
              </w:rPr>
            </w:pPr>
            <w:r>
              <w:rPr>
                <w:sz w:val="24"/>
                <w:szCs w:val="24"/>
              </w:rPr>
              <w:t xml:space="preserve">委托代理人： </w:t>
            </w:r>
          </w:p>
        </w:tc>
      </w:tr>
      <w:tr w14:paraId="308CD7EB">
        <w:tblPrEx>
          <w:tblCellMar>
            <w:top w:w="0" w:type="dxa"/>
            <w:left w:w="108" w:type="dxa"/>
            <w:bottom w:w="0" w:type="dxa"/>
            <w:right w:w="108" w:type="dxa"/>
          </w:tblCellMar>
        </w:tblPrEx>
        <w:tc>
          <w:tcPr>
            <w:tcW w:w="4261" w:type="dxa"/>
          </w:tcPr>
          <w:p w14:paraId="27315617">
            <w:pPr>
              <w:tabs>
                <w:tab w:val="left" w:pos="360"/>
              </w:tabs>
              <w:spacing w:line="520" w:lineRule="exact"/>
              <w:rPr>
                <w:sz w:val="24"/>
                <w:szCs w:val="24"/>
              </w:rPr>
            </w:pPr>
            <w:r>
              <w:rPr>
                <w:sz w:val="24"/>
                <w:szCs w:val="24"/>
              </w:rPr>
              <w:t>电话：</w:t>
            </w:r>
          </w:p>
        </w:tc>
        <w:tc>
          <w:tcPr>
            <w:tcW w:w="4261" w:type="dxa"/>
          </w:tcPr>
          <w:p w14:paraId="25DBB62F">
            <w:pPr>
              <w:tabs>
                <w:tab w:val="left" w:pos="360"/>
              </w:tabs>
              <w:spacing w:line="520" w:lineRule="exact"/>
              <w:rPr>
                <w:sz w:val="24"/>
                <w:szCs w:val="24"/>
              </w:rPr>
            </w:pPr>
            <w:r>
              <w:rPr>
                <w:sz w:val="24"/>
                <w:szCs w:val="24"/>
              </w:rPr>
              <w:t>电话：</w:t>
            </w:r>
          </w:p>
        </w:tc>
      </w:tr>
    </w:tbl>
    <w:p w14:paraId="53C07B2B">
      <w:pPr>
        <w:rPr>
          <w:sz w:val="24"/>
          <w:szCs w:val="24"/>
        </w:rPr>
      </w:pPr>
    </w:p>
    <w:p w14:paraId="72BAA78F">
      <w:pPr>
        <w:rPr>
          <w:szCs w:val="24"/>
        </w:rPr>
      </w:pPr>
      <w:r>
        <w:rPr>
          <w:sz w:val="24"/>
          <w:szCs w:val="24"/>
        </w:rPr>
        <w:t>时间：20</w:t>
      </w:r>
      <w:r>
        <w:rPr>
          <w:rFonts w:hint="eastAsia"/>
          <w:sz w:val="24"/>
          <w:szCs w:val="24"/>
        </w:rPr>
        <w:t xml:space="preserve">  </w:t>
      </w:r>
      <w:r>
        <w:rPr>
          <w:sz w:val="24"/>
          <w:szCs w:val="24"/>
        </w:rPr>
        <w:t>年  月  日</w:t>
      </w:r>
    </w:p>
    <w:p w14:paraId="6CD82C82">
      <w:pPr>
        <w:jc w:val="center"/>
        <w:rPr>
          <w:b/>
          <w:sz w:val="30"/>
          <w:szCs w:val="30"/>
        </w:rPr>
      </w:pPr>
      <w:r>
        <w:rPr>
          <w:b/>
          <w:sz w:val="30"/>
          <w:szCs w:val="30"/>
        </w:rPr>
        <w:br w:type="page"/>
      </w:r>
      <w:r>
        <w:rPr>
          <w:b/>
          <w:sz w:val="30"/>
          <w:szCs w:val="30"/>
        </w:rPr>
        <w:t>合同特殊条款</w:t>
      </w:r>
    </w:p>
    <w:p w14:paraId="5D1C8DCE">
      <w:pPr>
        <w:tabs>
          <w:tab w:val="left" w:pos="360"/>
        </w:tabs>
        <w:spacing w:line="520" w:lineRule="exact"/>
        <w:ind w:firstLine="383" w:firstLineChars="171"/>
        <w:rPr>
          <w:color w:val="000000"/>
          <w:sz w:val="24"/>
          <w:szCs w:val="24"/>
        </w:rPr>
      </w:pPr>
    </w:p>
    <w:p w14:paraId="532F9C62">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FED50D7">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4EEFA455">
      <w:pPr>
        <w:autoSpaceDE w:val="0"/>
        <w:autoSpaceDN w:val="0"/>
        <w:adjustRightInd w:val="0"/>
        <w:spacing w:line="360" w:lineRule="auto"/>
        <w:ind w:firstLine="448" w:firstLineChars="200"/>
        <w:rPr>
          <w:sz w:val="24"/>
        </w:rPr>
      </w:pPr>
    </w:p>
    <w:p w14:paraId="74E2D768">
      <w:pPr>
        <w:widowControl/>
        <w:jc w:val="left"/>
        <w:rPr>
          <w:sz w:val="24"/>
        </w:rPr>
      </w:pPr>
      <w:r>
        <w:rPr>
          <w:sz w:val="24"/>
        </w:rPr>
        <w:br w:type="page"/>
      </w:r>
    </w:p>
    <w:p w14:paraId="7AC2F5B4">
      <w:pPr>
        <w:pStyle w:val="16"/>
        <w:rPr>
          <w:rFonts w:ascii="Times New Roman" w:hAnsi="Times New Roman"/>
        </w:rPr>
      </w:pPr>
      <w:r>
        <w:rPr>
          <w:rFonts w:ascii="Times New Roman" w:hAnsi="Times New Roman"/>
        </w:rPr>
        <w:t>第五部分  投标文件格式</w:t>
      </w:r>
    </w:p>
    <w:p w14:paraId="13F5CA7D">
      <w:pPr>
        <w:autoSpaceDN w:val="0"/>
        <w:spacing w:line="360" w:lineRule="auto"/>
        <w:jc w:val="center"/>
        <w:rPr>
          <w:b/>
          <w:bCs/>
          <w:sz w:val="24"/>
        </w:rPr>
      </w:pPr>
      <w:r>
        <w:rPr>
          <w:b/>
          <w:bCs/>
          <w:sz w:val="24"/>
        </w:rPr>
        <w:t>投标文件封面格式</w:t>
      </w:r>
    </w:p>
    <w:p w14:paraId="6EC9CBDD">
      <w:pPr>
        <w:autoSpaceDE w:val="0"/>
        <w:autoSpaceDN w:val="0"/>
        <w:adjustRightInd w:val="0"/>
        <w:spacing w:line="520" w:lineRule="exact"/>
      </w:pPr>
    </w:p>
    <w:p w14:paraId="7F119AB0">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F85BCDC">
      <w:pPr>
        <w:autoSpaceDE w:val="0"/>
        <w:autoSpaceDN w:val="0"/>
        <w:adjustRightInd w:val="0"/>
        <w:spacing w:line="520" w:lineRule="exact"/>
        <w:rPr>
          <w:b/>
          <w:kern w:val="0"/>
          <w:sz w:val="24"/>
        </w:rPr>
      </w:pPr>
    </w:p>
    <w:p w14:paraId="5FFF46FD">
      <w:pPr>
        <w:autoSpaceDE w:val="0"/>
        <w:autoSpaceDN w:val="0"/>
        <w:adjustRightInd w:val="0"/>
        <w:spacing w:line="520" w:lineRule="exact"/>
        <w:rPr>
          <w:b/>
          <w:kern w:val="0"/>
          <w:sz w:val="24"/>
        </w:rPr>
      </w:pPr>
    </w:p>
    <w:p w14:paraId="7D361069">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2EBEBE5C">
      <w:pPr>
        <w:autoSpaceDE w:val="0"/>
        <w:autoSpaceDN w:val="0"/>
        <w:adjustRightInd w:val="0"/>
        <w:spacing w:line="520" w:lineRule="exact"/>
        <w:rPr>
          <w:b/>
          <w:kern w:val="0"/>
          <w:sz w:val="36"/>
          <w:szCs w:val="36"/>
        </w:rPr>
      </w:pPr>
    </w:p>
    <w:p w14:paraId="686B6C6A">
      <w:pPr>
        <w:autoSpaceDE w:val="0"/>
        <w:autoSpaceDN w:val="0"/>
        <w:adjustRightInd w:val="0"/>
        <w:spacing w:line="520" w:lineRule="exact"/>
        <w:jc w:val="center"/>
        <w:rPr>
          <w:b/>
          <w:color w:val="FF0000"/>
          <w:kern w:val="0"/>
          <w:sz w:val="24"/>
        </w:rPr>
      </w:pPr>
      <w:r>
        <w:rPr>
          <w:b/>
          <w:color w:val="FF0000"/>
          <w:kern w:val="0"/>
          <w:sz w:val="24"/>
        </w:rPr>
        <w:t>（加盖电子签章）</w:t>
      </w:r>
    </w:p>
    <w:p w14:paraId="2E1998C5">
      <w:pPr>
        <w:spacing w:before="85" w:beforeLines="30" w:after="199" w:afterLines="70" w:line="540" w:lineRule="exact"/>
        <w:ind w:left="582" w:leftChars="300"/>
        <w:rPr>
          <w:b/>
          <w:sz w:val="34"/>
          <w:szCs w:val="34"/>
        </w:rPr>
      </w:pPr>
      <w:r>
        <w:rPr>
          <w:b/>
          <w:sz w:val="34"/>
          <w:szCs w:val="34"/>
        </w:rPr>
        <w:t>项目编号：</w:t>
      </w:r>
    </w:p>
    <w:p w14:paraId="720A1CC4">
      <w:pPr>
        <w:spacing w:before="85" w:beforeLines="30" w:after="199" w:afterLines="70" w:line="540" w:lineRule="exact"/>
        <w:ind w:left="2027" w:leftChars="300" w:hanging="1445" w:hangingChars="446"/>
        <w:rPr>
          <w:b/>
          <w:sz w:val="34"/>
          <w:szCs w:val="34"/>
        </w:rPr>
      </w:pPr>
      <w:r>
        <w:rPr>
          <w:b/>
          <w:sz w:val="34"/>
          <w:szCs w:val="34"/>
        </w:rPr>
        <w:t>项目名称：</w:t>
      </w:r>
    </w:p>
    <w:p w14:paraId="390DE79D">
      <w:pPr>
        <w:spacing w:before="85" w:beforeLines="30" w:after="199" w:afterLines="70" w:line="540" w:lineRule="exact"/>
        <w:ind w:left="2027" w:leftChars="300" w:hanging="1445" w:hangingChars="446"/>
        <w:rPr>
          <w:b/>
          <w:sz w:val="34"/>
          <w:szCs w:val="34"/>
        </w:rPr>
      </w:pPr>
      <w:r>
        <w:rPr>
          <w:b/>
          <w:sz w:val="34"/>
          <w:szCs w:val="34"/>
        </w:rPr>
        <w:t>所投包号：</w:t>
      </w:r>
    </w:p>
    <w:p w14:paraId="2A7AFB5E">
      <w:pPr>
        <w:spacing w:before="85" w:beforeLines="30" w:after="199" w:afterLines="70" w:line="540" w:lineRule="exact"/>
        <w:ind w:left="582" w:leftChars="300"/>
        <w:rPr>
          <w:b/>
          <w:sz w:val="34"/>
          <w:szCs w:val="34"/>
        </w:rPr>
      </w:pPr>
      <w:r>
        <w:rPr>
          <w:b/>
          <w:sz w:val="34"/>
          <w:szCs w:val="34"/>
        </w:rPr>
        <w:t>投标单位名称：</w:t>
      </w:r>
    </w:p>
    <w:p w14:paraId="55731B4D">
      <w:pPr>
        <w:spacing w:before="85" w:beforeLines="30" w:after="199" w:afterLines="70" w:line="540" w:lineRule="exact"/>
        <w:ind w:left="582" w:leftChars="300"/>
        <w:rPr>
          <w:b/>
          <w:sz w:val="34"/>
          <w:szCs w:val="34"/>
        </w:rPr>
      </w:pPr>
      <w:r>
        <w:rPr>
          <w:rFonts w:hint="eastAsia"/>
          <w:b/>
          <w:sz w:val="34"/>
          <w:szCs w:val="34"/>
        </w:rPr>
        <w:t>投标代表人姓名：</w:t>
      </w:r>
    </w:p>
    <w:p w14:paraId="778D786D">
      <w:pPr>
        <w:spacing w:before="85" w:beforeLines="30" w:after="199" w:afterLines="70" w:line="540" w:lineRule="exact"/>
        <w:ind w:left="582" w:leftChars="300"/>
        <w:rPr>
          <w:b/>
          <w:sz w:val="34"/>
          <w:szCs w:val="34"/>
        </w:rPr>
      </w:pPr>
    </w:p>
    <w:p w14:paraId="7A800321">
      <w:pPr>
        <w:spacing w:before="85" w:beforeLines="30" w:after="199" w:afterLines="70" w:line="540" w:lineRule="exact"/>
        <w:ind w:left="582" w:leftChars="300"/>
        <w:rPr>
          <w:b/>
          <w:sz w:val="34"/>
          <w:szCs w:val="34"/>
        </w:rPr>
      </w:pPr>
    </w:p>
    <w:p w14:paraId="431C066F">
      <w:pPr>
        <w:spacing w:before="85" w:beforeLines="30" w:after="199" w:afterLines="70" w:line="540" w:lineRule="exact"/>
        <w:ind w:left="582" w:leftChars="300"/>
        <w:rPr>
          <w:b/>
          <w:sz w:val="34"/>
          <w:szCs w:val="34"/>
        </w:rPr>
      </w:pPr>
    </w:p>
    <w:p w14:paraId="710521EC">
      <w:pPr>
        <w:spacing w:before="85" w:beforeLines="30" w:after="199" w:afterLines="70" w:line="540" w:lineRule="exact"/>
        <w:ind w:left="582" w:leftChars="300"/>
        <w:rPr>
          <w:b/>
          <w:bCs/>
          <w:sz w:val="24"/>
        </w:rPr>
      </w:pPr>
      <w:r>
        <w:rPr>
          <w:b/>
          <w:sz w:val="34"/>
          <w:szCs w:val="34"/>
        </w:rPr>
        <w:t>投标日期：   年   月   日</w:t>
      </w:r>
    </w:p>
    <w:p w14:paraId="4E5A9758">
      <w:pPr>
        <w:widowControl/>
        <w:jc w:val="left"/>
        <w:rPr>
          <w:b/>
          <w:bCs/>
          <w:sz w:val="24"/>
        </w:rPr>
      </w:pPr>
      <w:r>
        <w:rPr>
          <w:b/>
          <w:bCs/>
          <w:sz w:val="24"/>
        </w:rPr>
        <w:br w:type="page"/>
      </w:r>
    </w:p>
    <w:p w14:paraId="5AEFA23C">
      <w:pPr>
        <w:autoSpaceDN w:val="0"/>
        <w:spacing w:line="360" w:lineRule="auto"/>
        <w:jc w:val="center"/>
        <w:rPr>
          <w:b/>
          <w:bCs/>
          <w:sz w:val="24"/>
        </w:rPr>
      </w:pPr>
      <w:r>
        <w:rPr>
          <w:b/>
          <w:bCs/>
          <w:sz w:val="24"/>
        </w:rPr>
        <w:t>投标文件总目录</w:t>
      </w:r>
    </w:p>
    <w:p w14:paraId="03E4F287">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2743FE2E">
      <w:pPr>
        <w:widowControl/>
        <w:jc w:val="center"/>
        <w:rPr>
          <w:b/>
          <w:sz w:val="24"/>
        </w:rPr>
      </w:pPr>
    </w:p>
    <w:p w14:paraId="3659990E">
      <w:pPr>
        <w:widowControl/>
        <w:jc w:val="left"/>
        <w:rPr>
          <w:b/>
          <w:sz w:val="24"/>
        </w:rPr>
      </w:pPr>
      <w:r>
        <w:rPr>
          <w:b/>
          <w:sz w:val="24"/>
        </w:rPr>
        <w:br w:type="page"/>
      </w:r>
    </w:p>
    <w:p w14:paraId="2F8CFE2E">
      <w:pPr>
        <w:widowControl/>
        <w:jc w:val="center"/>
        <w:rPr>
          <w:b/>
          <w:sz w:val="24"/>
        </w:rPr>
      </w:pPr>
      <w:r>
        <w:rPr>
          <w:b/>
          <w:sz w:val="24"/>
        </w:rPr>
        <w:t>评分因素及评标标准页码检索</w:t>
      </w:r>
    </w:p>
    <w:p w14:paraId="4124C449">
      <w:pPr>
        <w:widowControl/>
        <w:jc w:val="center"/>
        <w:rPr>
          <w:b/>
          <w:sz w:val="24"/>
        </w:rPr>
      </w:pPr>
      <w:r>
        <w:rPr>
          <w:b/>
          <w:bCs/>
          <w:sz w:val="24"/>
        </w:rPr>
        <w:t>（需投标人按招标文件“评分因素及评标标准”中每个评分项逐项列明页码）</w:t>
      </w:r>
    </w:p>
    <w:p w14:paraId="5030A6C5">
      <w:pPr>
        <w:widowControl/>
        <w:jc w:val="left"/>
        <w:rPr>
          <w:sz w:val="24"/>
        </w:rPr>
      </w:pPr>
      <w:r>
        <w:rPr>
          <w:sz w:val="24"/>
        </w:rPr>
        <w:br w:type="page"/>
      </w:r>
    </w:p>
    <w:p w14:paraId="340D9136">
      <w:pPr>
        <w:tabs>
          <w:tab w:val="left" w:pos="360"/>
        </w:tabs>
        <w:spacing w:after="285" w:afterLines="100" w:line="360" w:lineRule="auto"/>
        <w:rPr>
          <w:b/>
          <w:sz w:val="24"/>
        </w:rPr>
      </w:pPr>
      <w:r>
        <w:rPr>
          <w:b/>
          <w:sz w:val="24"/>
        </w:rPr>
        <w:t>附件1</w:t>
      </w:r>
    </w:p>
    <w:p w14:paraId="5FE6888B">
      <w:pPr>
        <w:autoSpaceDN w:val="0"/>
        <w:spacing w:line="360" w:lineRule="auto"/>
        <w:jc w:val="center"/>
        <w:rPr>
          <w:b/>
          <w:bCs/>
          <w:sz w:val="24"/>
        </w:rPr>
      </w:pPr>
      <w:r>
        <w:rPr>
          <w:b/>
          <w:bCs/>
          <w:sz w:val="24"/>
        </w:rPr>
        <w:t>投标书</w:t>
      </w:r>
    </w:p>
    <w:p w14:paraId="04CCCBC9">
      <w:pPr>
        <w:spacing w:line="360" w:lineRule="auto"/>
        <w:rPr>
          <w:sz w:val="24"/>
        </w:rPr>
      </w:pPr>
      <w:r>
        <w:rPr>
          <w:sz w:val="24"/>
        </w:rPr>
        <w:t>致：天津市政府采购中心</w:t>
      </w:r>
    </w:p>
    <w:p w14:paraId="63E1B5E5">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3C8F0F31">
      <w:pPr>
        <w:spacing w:line="360" w:lineRule="auto"/>
        <w:ind w:firstLine="448" w:firstLineChars="200"/>
        <w:rPr>
          <w:sz w:val="24"/>
        </w:rPr>
      </w:pPr>
      <w:r>
        <w:rPr>
          <w:sz w:val="24"/>
        </w:rPr>
        <w:t>据此函，签字代表宣布同意如下：</w:t>
      </w:r>
    </w:p>
    <w:p w14:paraId="0D9489BE">
      <w:pPr>
        <w:spacing w:line="360" w:lineRule="auto"/>
        <w:ind w:firstLine="448" w:firstLineChars="200"/>
        <w:rPr>
          <w:sz w:val="24"/>
        </w:rPr>
      </w:pPr>
      <w:r>
        <w:rPr>
          <w:sz w:val="24"/>
        </w:rPr>
        <w:t>1. 所附投标报价表中规定的应提供和交付的服务投标总价为：</w:t>
      </w:r>
    </w:p>
    <w:p w14:paraId="1419C3AF">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19ECA608">
      <w:pPr>
        <w:spacing w:line="360" w:lineRule="auto"/>
        <w:ind w:firstLine="448" w:firstLineChars="200"/>
        <w:rPr>
          <w:sz w:val="24"/>
        </w:rPr>
      </w:pPr>
      <w:r>
        <w:rPr>
          <w:sz w:val="24"/>
        </w:rPr>
        <w:t>……</w:t>
      </w:r>
    </w:p>
    <w:p w14:paraId="7B4154E3">
      <w:pPr>
        <w:spacing w:line="360" w:lineRule="auto"/>
        <w:ind w:firstLine="448" w:firstLineChars="200"/>
        <w:rPr>
          <w:sz w:val="24"/>
        </w:rPr>
      </w:pPr>
      <w:r>
        <w:rPr>
          <w:sz w:val="24"/>
        </w:rPr>
        <w:t>2. 我公司将按招标文件的规定履行合同责任和义务。</w:t>
      </w:r>
    </w:p>
    <w:p w14:paraId="53D09483">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63E0BBFF">
      <w:pPr>
        <w:spacing w:line="360" w:lineRule="auto"/>
        <w:ind w:firstLine="448" w:firstLineChars="200"/>
        <w:rPr>
          <w:sz w:val="24"/>
        </w:rPr>
      </w:pPr>
      <w:r>
        <w:rPr>
          <w:sz w:val="24"/>
        </w:rPr>
        <w:t>4. 我公司的投标有效期为开标之日起60天。</w:t>
      </w:r>
    </w:p>
    <w:p w14:paraId="148F92A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6CABB25">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368CFC0">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11A2862">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50A6372B">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022AD8B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67C10E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411C04AE">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120D0356">
      <w:pPr>
        <w:spacing w:line="360" w:lineRule="auto"/>
        <w:ind w:firstLine="448" w:firstLineChars="200"/>
        <w:rPr>
          <w:sz w:val="24"/>
        </w:rPr>
      </w:pPr>
      <w:r>
        <w:rPr>
          <w:rFonts w:hint="eastAsia"/>
          <w:sz w:val="24"/>
        </w:rPr>
        <w:t>纳税人识别号：</w:t>
      </w:r>
    </w:p>
    <w:p w14:paraId="16723FF8">
      <w:pPr>
        <w:spacing w:line="360" w:lineRule="auto"/>
        <w:ind w:firstLine="448" w:firstLineChars="200"/>
        <w:rPr>
          <w:sz w:val="24"/>
        </w:rPr>
      </w:pPr>
      <w:r>
        <w:rPr>
          <w:rFonts w:hint="eastAsia"/>
          <w:sz w:val="24"/>
        </w:rPr>
        <w:t>地址、电话：</w:t>
      </w:r>
    </w:p>
    <w:p w14:paraId="1B17CB77">
      <w:pPr>
        <w:spacing w:line="360" w:lineRule="auto"/>
        <w:ind w:firstLine="448" w:firstLineChars="200"/>
        <w:rPr>
          <w:sz w:val="24"/>
        </w:rPr>
      </w:pPr>
      <w:r>
        <w:rPr>
          <w:rFonts w:hint="eastAsia"/>
          <w:sz w:val="24"/>
        </w:rPr>
        <w:t>开户行及账号：</w:t>
      </w:r>
    </w:p>
    <w:p w14:paraId="1C159AEA">
      <w:pPr>
        <w:spacing w:line="360" w:lineRule="auto"/>
        <w:ind w:firstLine="448" w:firstLineChars="200"/>
        <w:rPr>
          <w:sz w:val="24"/>
        </w:rPr>
      </w:pPr>
      <w:r>
        <w:rPr>
          <w:rFonts w:hint="eastAsia"/>
          <w:sz w:val="24"/>
        </w:rPr>
        <w:t>开具发票类型：□增值税专用发票         □增值税普通发票</w:t>
      </w:r>
    </w:p>
    <w:p w14:paraId="5032FA0C">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499A1E1B">
      <w:pPr>
        <w:spacing w:line="360" w:lineRule="auto"/>
        <w:ind w:firstLine="448" w:firstLineChars="200"/>
        <w:rPr>
          <w:b/>
          <w:sz w:val="24"/>
        </w:rPr>
      </w:pPr>
      <w:r>
        <w:rPr>
          <w:rFonts w:hint="eastAsia"/>
          <w:b/>
          <w:sz w:val="24"/>
        </w:rPr>
        <w:t>□</w:t>
      </w:r>
      <w:r>
        <w:rPr>
          <w:b/>
          <w:sz w:val="24"/>
        </w:rPr>
        <w:t>上门自取</w:t>
      </w:r>
    </w:p>
    <w:p w14:paraId="756E5B25">
      <w:pPr>
        <w:spacing w:line="360" w:lineRule="auto"/>
        <w:ind w:firstLine="448" w:firstLineChars="200"/>
        <w:rPr>
          <w:sz w:val="24"/>
        </w:rPr>
      </w:pPr>
    </w:p>
    <w:p w14:paraId="71EB3ED8">
      <w:pPr>
        <w:spacing w:line="360" w:lineRule="auto"/>
        <w:ind w:firstLine="448" w:firstLineChars="200"/>
        <w:rPr>
          <w:b/>
          <w:sz w:val="24"/>
        </w:rPr>
      </w:pPr>
      <w:r>
        <w:rPr>
          <w:rFonts w:hint="eastAsia"/>
          <w:b/>
          <w:sz w:val="24"/>
        </w:rPr>
        <w:t>□</w:t>
      </w:r>
      <w:r>
        <w:rPr>
          <w:b/>
          <w:sz w:val="24"/>
        </w:rPr>
        <w:t>到付邮寄</w:t>
      </w:r>
    </w:p>
    <w:p w14:paraId="52E127B1">
      <w:pPr>
        <w:spacing w:line="360" w:lineRule="auto"/>
        <w:ind w:firstLine="448" w:firstLineChars="200"/>
        <w:rPr>
          <w:sz w:val="24"/>
        </w:rPr>
      </w:pPr>
      <w:r>
        <w:rPr>
          <w:sz w:val="24"/>
        </w:rPr>
        <w:t>邮寄地址</w:t>
      </w:r>
      <w:r>
        <w:rPr>
          <w:rFonts w:hint="eastAsia"/>
          <w:sz w:val="24"/>
        </w:rPr>
        <w:t>、邮编</w:t>
      </w:r>
      <w:r>
        <w:rPr>
          <w:sz w:val="24"/>
        </w:rPr>
        <w:t>：</w:t>
      </w:r>
    </w:p>
    <w:p w14:paraId="20BB131E">
      <w:pPr>
        <w:spacing w:line="360" w:lineRule="auto"/>
        <w:ind w:firstLine="448" w:firstLineChars="200"/>
        <w:rPr>
          <w:sz w:val="24"/>
        </w:rPr>
      </w:pPr>
      <w:r>
        <w:rPr>
          <w:sz w:val="24"/>
        </w:rPr>
        <w:t>邮寄联系人、手机号码：</w:t>
      </w:r>
    </w:p>
    <w:p w14:paraId="0E3CE6B5">
      <w:pPr>
        <w:spacing w:line="360" w:lineRule="auto"/>
        <w:ind w:firstLine="3808" w:firstLineChars="1700"/>
        <w:rPr>
          <w:sz w:val="24"/>
        </w:rPr>
      </w:pPr>
    </w:p>
    <w:p w14:paraId="1068627F">
      <w:pPr>
        <w:spacing w:line="360" w:lineRule="auto"/>
        <w:ind w:firstLine="3808" w:firstLineChars="1700"/>
        <w:rPr>
          <w:sz w:val="24"/>
        </w:rPr>
      </w:pPr>
      <w:r>
        <w:rPr>
          <w:sz w:val="24"/>
        </w:rPr>
        <w:t>投标人名称：</w:t>
      </w:r>
    </w:p>
    <w:p w14:paraId="15197CD3">
      <w:pPr>
        <w:spacing w:line="360" w:lineRule="auto"/>
        <w:ind w:firstLine="3808" w:firstLineChars="1700"/>
        <w:rPr>
          <w:sz w:val="24"/>
        </w:rPr>
      </w:pPr>
    </w:p>
    <w:p w14:paraId="2C16513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72AC900">
      <w:pPr>
        <w:spacing w:line="460" w:lineRule="exact"/>
        <w:rPr>
          <w:sz w:val="24"/>
        </w:rPr>
      </w:pPr>
    </w:p>
    <w:p w14:paraId="1F11C346">
      <w:pPr>
        <w:widowControl/>
        <w:jc w:val="left"/>
        <w:rPr>
          <w:sz w:val="24"/>
        </w:rPr>
      </w:pPr>
      <w:r>
        <w:rPr>
          <w:sz w:val="24"/>
        </w:rPr>
        <w:br w:type="page"/>
      </w:r>
    </w:p>
    <w:p w14:paraId="12BFB151">
      <w:pPr>
        <w:widowControl/>
        <w:jc w:val="left"/>
        <w:rPr>
          <w:b/>
          <w:sz w:val="24"/>
        </w:rPr>
      </w:pPr>
      <w:r>
        <w:rPr>
          <w:b/>
          <w:sz w:val="24"/>
        </w:rPr>
        <w:t>附件2</w:t>
      </w:r>
    </w:p>
    <w:p w14:paraId="2242F416">
      <w:pPr>
        <w:autoSpaceDN w:val="0"/>
        <w:spacing w:line="360" w:lineRule="auto"/>
        <w:jc w:val="center"/>
        <w:rPr>
          <w:b/>
          <w:bCs/>
          <w:sz w:val="24"/>
        </w:rPr>
      </w:pPr>
    </w:p>
    <w:p w14:paraId="5C481892">
      <w:pPr>
        <w:ind w:right="84"/>
        <w:jc w:val="center"/>
        <w:rPr>
          <w:b/>
          <w:sz w:val="24"/>
        </w:rPr>
      </w:pPr>
      <w:r>
        <w:rPr>
          <w:rFonts w:hint="eastAsia"/>
          <w:b/>
          <w:sz w:val="24"/>
        </w:rPr>
        <w:t>供应商资格声明函</w:t>
      </w:r>
    </w:p>
    <w:p w14:paraId="1CCD0935">
      <w:pPr>
        <w:spacing w:line="360" w:lineRule="auto"/>
        <w:ind w:firstLine="420"/>
        <w:jc w:val="center"/>
        <w:rPr>
          <w:b/>
          <w:sz w:val="24"/>
        </w:rPr>
      </w:pPr>
    </w:p>
    <w:p w14:paraId="59537ACC">
      <w:pPr>
        <w:spacing w:line="360" w:lineRule="auto"/>
        <w:rPr>
          <w:sz w:val="24"/>
        </w:rPr>
      </w:pPr>
      <w:r>
        <w:rPr>
          <w:rFonts w:hint="eastAsia"/>
          <w:sz w:val="24"/>
        </w:rPr>
        <w:t>天津市政府采购中心：</w:t>
      </w:r>
    </w:p>
    <w:p w14:paraId="6B8BF2A8">
      <w:pPr>
        <w:spacing w:line="360" w:lineRule="auto"/>
        <w:ind w:firstLine="448" w:firstLineChars="200"/>
        <w:rPr>
          <w:sz w:val="24"/>
        </w:rPr>
      </w:pPr>
      <w:r>
        <w:rPr>
          <w:rFonts w:hint="eastAsia"/>
          <w:sz w:val="24"/>
        </w:rPr>
        <w:t>我单位自愿参与本项目的政府采购活动，郑重承诺如下：</w:t>
      </w:r>
    </w:p>
    <w:p w14:paraId="3FA8094A">
      <w:pPr>
        <w:spacing w:line="360" w:lineRule="auto"/>
        <w:ind w:firstLine="448" w:firstLineChars="200"/>
        <w:rPr>
          <w:sz w:val="24"/>
        </w:rPr>
      </w:pPr>
      <w:r>
        <w:rPr>
          <w:rFonts w:hint="eastAsia"/>
          <w:sz w:val="24"/>
        </w:rPr>
        <w:t>（一）我单位具有良好的商业信誉和健全的财务会计制度；</w:t>
      </w:r>
    </w:p>
    <w:p w14:paraId="14338F84">
      <w:pPr>
        <w:spacing w:line="360" w:lineRule="auto"/>
        <w:ind w:firstLine="448" w:firstLineChars="200"/>
        <w:rPr>
          <w:sz w:val="24"/>
        </w:rPr>
      </w:pPr>
      <w:r>
        <w:rPr>
          <w:rFonts w:hint="eastAsia"/>
          <w:sz w:val="24"/>
        </w:rPr>
        <w:t>（二）我单位依法缴纳税收和社会保障资金；</w:t>
      </w:r>
    </w:p>
    <w:p w14:paraId="7B685FE7">
      <w:pPr>
        <w:spacing w:line="360" w:lineRule="auto"/>
        <w:ind w:firstLine="448" w:firstLineChars="200"/>
        <w:rPr>
          <w:sz w:val="24"/>
        </w:rPr>
      </w:pPr>
      <w:r>
        <w:rPr>
          <w:rFonts w:hint="eastAsia"/>
          <w:sz w:val="24"/>
        </w:rPr>
        <w:t>（三）我单位具备履行合同所必需的设备和专业技术能力；</w:t>
      </w:r>
    </w:p>
    <w:p w14:paraId="0E681FF3">
      <w:pPr>
        <w:spacing w:line="360" w:lineRule="auto"/>
        <w:ind w:firstLine="448" w:firstLineChars="200"/>
        <w:rPr>
          <w:sz w:val="24"/>
        </w:rPr>
      </w:pPr>
      <w:r>
        <w:rPr>
          <w:rFonts w:hint="eastAsia"/>
          <w:sz w:val="24"/>
        </w:rPr>
        <w:t>（四）参加政府采购活动前3年我单位在经营活动中没有重大违法记录；</w:t>
      </w:r>
    </w:p>
    <w:p w14:paraId="24B1F56F">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89A4659">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8A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8B9FC64">
            <w:pPr>
              <w:jc w:val="center"/>
              <w:rPr>
                <w:szCs w:val="21"/>
              </w:rPr>
            </w:pPr>
            <w:r>
              <w:rPr>
                <w:rFonts w:hint="eastAsia"/>
                <w:szCs w:val="21"/>
              </w:rPr>
              <w:t>序号</w:t>
            </w:r>
          </w:p>
        </w:tc>
        <w:tc>
          <w:tcPr>
            <w:tcW w:w="2273" w:type="pct"/>
            <w:vAlign w:val="center"/>
          </w:tcPr>
          <w:p w14:paraId="29F2EE80">
            <w:pPr>
              <w:jc w:val="center"/>
              <w:rPr>
                <w:szCs w:val="21"/>
              </w:rPr>
            </w:pPr>
            <w:r>
              <w:rPr>
                <w:rFonts w:hint="eastAsia"/>
                <w:szCs w:val="21"/>
              </w:rPr>
              <w:t>单位名称</w:t>
            </w:r>
          </w:p>
        </w:tc>
        <w:tc>
          <w:tcPr>
            <w:tcW w:w="1667" w:type="pct"/>
            <w:vAlign w:val="center"/>
          </w:tcPr>
          <w:p w14:paraId="71BF4F0E">
            <w:pPr>
              <w:jc w:val="center"/>
              <w:rPr>
                <w:szCs w:val="21"/>
              </w:rPr>
            </w:pPr>
            <w:r>
              <w:rPr>
                <w:rFonts w:hint="eastAsia"/>
                <w:szCs w:val="21"/>
              </w:rPr>
              <w:t>相互关系类型</w:t>
            </w:r>
          </w:p>
        </w:tc>
      </w:tr>
      <w:tr w14:paraId="0655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E57DDA">
            <w:pPr>
              <w:jc w:val="center"/>
              <w:rPr>
                <w:szCs w:val="21"/>
              </w:rPr>
            </w:pPr>
            <w:r>
              <w:rPr>
                <w:rFonts w:hint="eastAsia"/>
                <w:szCs w:val="21"/>
              </w:rPr>
              <w:t>1</w:t>
            </w:r>
          </w:p>
        </w:tc>
        <w:tc>
          <w:tcPr>
            <w:tcW w:w="2273" w:type="pct"/>
            <w:vAlign w:val="center"/>
          </w:tcPr>
          <w:p w14:paraId="0C230436">
            <w:pPr>
              <w:jc w:val="center"/>
              <w:rPr>
                <w:szCs w:val="21"/>
              </w:rPr>
            </w:pPr>
          </w:p>
        </w:tc>
        <w:tc>
          <w:tcPr>
            <w:tcW w:w="1667" w:type="pct"/>
            <w:vAlign w:val="center"/>
          </w:tcPr>
          <w:p w14:paraId="53C9B523">
            <w:pPr>
              <w:jc w:val="center"/>
              <w:rPr>
                <w:szCs w:val="21"/>
              </w:rPr>
            </w:pPr>
          </w:p>
        </w:tc>
      </w:tr>
      <w:tr w14:paraId="38AD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20BE9AC">
            <w:pPr>
              <w:jc w:val="center"/>
              <w:rPr>
                <w:szCs w:val="21"/>
              </w:rPr>
            </w:pPr>
            <w:r>
              <w:rPr>
                <w:rFonts w:hint="eastAsia"/>
                <w:szCs w:val="21"/>
              </w:rPr>
              <w:t>2</w:t>
            </w:r>
          </w:p>
        </w:tc>
        <w:tc>
          <w:tcPr>
            <w:tcW w:w="2273" w:type="pct"/>
            <w:vAlign w:val="center"/>
          </w:tcPr>
          <w:p w14:paraId="7A61E96F">
            <w:pPr>
              <w:jc w:val="center"/>
              <w:rPr>
                <w:szCs w:val="21"/>
              </w:rPr>
            </w:pPr>
          </w:p>
        </w:tc>
        <w:tc>
          <w:tcPr>
            <w:tcW w:w="1667" w:type="pct"/>
            <w:vAlign w:val="center"/>
          </w:tcPr>
          <w:p w14:paraId="1D9DD0C1">
            <w:pPr>
              <w:jc w:val="center"/>
              <w:rPr>
                <w:szCs w:val="21"/>
              </w:rPr>
            </w:pPr>
          </w:p>
        </w:tc>
      </w:tr>
      <w:tr w14:paraId="3D12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4DDD1A2">
            <w:pPr>
              <w:jc w:val="center"/>
              <w:rPr>
                <w:szCs w:val="21"/>
              </w:rPr>
            </w:pPr>
            <w:r>
              <w:rPr>
                <w:rFonts w:hint="eastAsia"/>
                <w:szCs w:val="21"/>
              </w:rPr>
              <w:t>3</w:t>
            </w:r>
          </w:p>
        </w:tc>
        <w:tc>
          <w:tcPr>
            <w:tcW w:w="2273" w:type="pct"/>
            <w:vAlign w:val="center"/>
          </w:tcPr>
          <w:p w14:paraId="3529DEFE">
            <w:pPr>
              <w:jc w:val="center"/>
              <w:rPr>
                <w:szCs w:val="21"/>
              </w:rPr>
            </w:pPr>
          </w:p>
        </w:tc>
        <w:tc>
          <w:tcPr>
            <w:tcW w:w="1667" w:type="pct"/>
            <w:vAlign w:val="center"/>
          </w:tcPr>
          <w:p w14:paraId="75207D4F">
            <w:pPr>
              <w:jc w:val="center"/>
              <w:rPr>
                <w:szCs w:val="21"/>
              </w:rPr>
            </w:pPr>
          </w:p>
        </w:tc>
      </w:tr>
    </w:tbl>
    <w:p w14:paraId="35AE4E18">
      <w:pPr>
        <w:spacing w:line="360" w:lineRule="auto"/>
        <w:ind w:firstLine="448" w:firstLineChars="200"/>
        <w:rPr>
          <w:sz w:val="24"/>
        </w:rPr>
      </w:pPr>
      <w:r>
        <w:rPr>
          <w:rFonts w:hint="eastAsia"/>
          <w:sz w:val="24"/>
        </w:rPr>
        <w:t>上表未填写的，视为不存在第（六）条所列情形</w:t>
      </w:r>
    </w:p>
    <w:p w14:paraId="64382C15">
      <w:pPr>
        <w:spacing w:line="360" w:lineRule="auto"/>
        <w:ind w:firstLine="448" w:firstLineChars="200"/>
        <w:rPr>
          <w:sz w:val="24"/>
        </w:rPr>
      </w:pPr>
    </w:p>
    <w:p w14:paraId="54DCA546">
      <w:pPr>
        <w:spacing w:line="360" w:lineRule="auto"/>
        <w:ind w:firstLine="448" w:firstLineChars="200"/>
        <w:rPr>
          <w:sz w:val="24"/>
        </w:rPr>
      </w:pPr>
      <w:r>
        <w:rPr>
          <w:rFonts w:hint="eastAsia"/>
          <w:sz w:val="24"/>
        </w:rPr>
        <w:t>上述声明真实有效，否则我单位承担全部责任和不利后果。</w:t>
      </w:r>
    </w:p>
    <w:p w14:paraId="04DBAE4A">
      <w:pPr>
        <w:spacing w:line="360" w:lineRule="auto"/>
        <w:ind w:firstLine="448" w:firstLineChars="200"/>
        <w:rPr>
          <w:sz w:val="24"/>
        </w:rPr>
      </w:pPr>
    </w:p>
    <w:p w14:paraId="0FE087FC">
      <w:pPr>
        <w:spacing w:line="360" w:lineRule="auto"/>
        <w:ind w:firstLine="224" w:firstLineChars="100"/>
        <w:rPr>
          <w:sz w:val="24"/>
        </w:rPr>
      </w:pPr>
      <w:r>
        <w:rPr>
          <w:sz w:val="24"/>
        </w:rPr>
        <w:t>投标人名称：</w:t>
      </w:r>
    </w:p>
    <w:p w14:paraId="7772870E">
      <w:pPr>
        <w:spacing w:line="360" w:lineRule="auto"/>
        <w:ind w:firstLine="224" w:firstLineChars="100"/>
        <w:rPr>
          <w:sz w:val="24"/>
        </w:rPr>
      </w:pPr>
    </w:p>
    <w:p w14:paraId="2398D24B">
      <w:pPr>
        <w:spacing w:line="360" w:lineRule="auto"/>
        <w:ind w:firstLine="224" w:firstLineChars="100"/>
        <w:rPr>
          <w:position w:val="-40"/>
          <w:sz w:val="24"/>
        </w:rPr>
      </w:pPr>
      <w:r>
        <w:rPr>
          <w:sz w:val="24"/>
        </w:rPr>
        <w:t xml:space="preserve">日期：  </w:t>
      </w:r>
    </w:p>
    <w:p w14:paraId="4B530F81">
      <w:pPr>
        <w:autoSpaceDN w:val="0"/>
        <w:spacing w:line="360" w:lineRule="auto"/>
        <w:jc w:val="center"/>
        <w:rPr>
          <w:b/>
          <w:bCs/>
          <w:sz w:val="24"/>
        </w:rPr>
      </w:pPr>
    </w:p>
    <w:p w14:paraId="11F84BB5">
      <w:pPr>
        <w:widowControl/>
        <w:jc w:val="left"/>
        <w:rPr>
          <w:b/>
          <w:bCs/>
          <w:sz w:val="24"/>
        </w:rPr>
      </w:pPr>
      <w:r>
        <w:rPr>
          <w:b/>
          <w:bCs/>
          <w:sz w:val="24"/>
        </w:rPr>
        <w:br w:type="page"/>
      </w:r>
    </w:p>
    <w:p w14:paraId="797E865E">
      <w:pPr>
        <w:spacing w:line="460" w:lineRule="exact"/>
        <w:rPr>
          <w:b/>
          <w:sz w:val="24"/>
        </w:rPr>
      </w:pPr>
      <w:r>
        <w:rPr>
          <w:rFonts w:hint="eastAsia"/>
          <w:b/>
          <w:bCs/>
          <w:sz w:val="24"/>
        </w:rPr>
        <w:t>附件2-1：招标文件第一部分供应商资格要求的证件</w:t>
      </w:r>
    </w:p>
    <w:p w14:paraId="6A45C4A7">
      <w:pPr>
        <w:widowControl/>
        <w:jc w:val="left"/>
        <w:rPr>
          <w:b/>
          <w:bCs/>
          <w:sz w:val="24"/>
        </w:rPr>
      </w:pPr>
      <w:r>
        <w:rPr>
          <w:b/>
          <w:bCs/>
          <w:sz w:val="24"/>
        </w:rPr>
        <w:br w:type="page"/>
      </w:r>
    </w:p>
    <w:p w14:paraId="42D9D00D">
      <w:pPr>
        <w:autoSpaceDN w:val="0"/>
        <w:spacing w:line="360" w:lineRule="auto"/>
        <w:rPr>
          <w:b/>
          <w:bCs/>
          <w:sz w:val="24"/>
        </w:rPr>
      </w:pPr>
      <w:r>
        <w:rPr>
          <w:rFonts w:hint="eastAsia"/>
          <w:b/>
          <w:bCs/>
          <w:sz w:val="24"/>
        </w:rPr>
        <w:t>附件3</w:t>
      </w:r>
    </w:p>
    <w:p w14:paraId="0DFCE163">
      <w:pPr>
        <w:autoSpaceDN w:val="0"/>
        <w:spacing w:line="360" w:lineRule="auto"/>
        <w:jc w:val="center"/>
        <w:rPr>
          <w:b/>
          <w:bCs/>
          <w:sz w:val="24"/>
        </w:rPr>
      </w:pPr>
    </w:p>
    <w:p w14:paraId="66A32133">
      <w:pPr>
        <w:autoSpaceDN w:val="0"/>
        <w:spacing w:line="360" w:lineRule="auto"/>
        <w:jc w:val="center"/>
        <w:rPr>
          <w:b/>
          <w:bCs/>
          <w:sz w:val="24"/>
        </w:rPr>
      </w:pPr>
      <w:r>
        <w:rPr>
          <w:b/>
          <w:bCs/>
          <w:sz w:val="24"/>
        </w:rPr>
        <w:t>开标一览表</w:t>
      </w:r>
    </w:p>
    <w:p w14:paraId="54C195E1">
      <w:pPr>
        <w:ind w:right="84"/>
        <w:rPr>
          <w:sz w:val="24"/>
        </w:rPr>
      </w:pPr>
    </w:p>
    <w:p w14:paraId="2B884A25">
      <w:pPr>
        <w:spacing w:line="460" w:lineRule="exact"/>
        <w:rPr>
          <w:sz w:val="24"/>
        </w:rPr>
      </w:pPr>
      <w:r>
        <w:rPr>
          <w:sz w:val="24"/>
        </w:rPr>
        <w:t>项目名称：</w:t>
      </w:r>
      <w:r>
        <w:rPr>
          <w:sz w:val="24"/>
          <w:u w:val="single"/>
        </w:rPr>
        <w:t xml:space="preserve">                    </w:t>
      </w:r>
    </w:p>
    <w:p w14:paraId="000CFC2D">
      <w:pPr>
        <w:spacing w:line="460" w:lineRule="exact"/>
        <w:rPr>
          <w:sz w:val="24"/>
        </w:rPr>
      </w:pPr>
      <w:r>
        <w:rPr>
          <w:sz w:val="24"/>
        </w:rPr>
        <w:t>项目编号：</w:t>
      </w:r>
      <w:r>
        <w:rPr>
          <w:sz w:val="24"/>
          <w:u w:val="single"/>
        </w:rPr>
        <w:t xml:space="preserve">                    </w:t>
      </w:r>
    </w:p>
    <w:p w14:paraId="609E483A">
      <w:pPr>
        <w:spacing w:line="460" w:lineRule="exact"/>
        <w:rPr>
          <w:sz w:val="24"/>
          <w:u w:val="single"/>
        </w:rPr>
      </w:pPr>
      <w:r>
        <w:rPr>
          <w:sz w:val="24"/>
        </w:rPr>
        <w:t>包号：</w:t>
      </w:r>
      <w:r>
        <w:rPr>
          <w:sz w:val="24"/>
          <w:u w:val="single"/>
        </w:rPr>
        <w:t xml:space="preserve">                        </w:t>
      </w:r>
    </w:p>
    <w:p w14:paraId="3015CF5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0D79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42619824">
            <w:pPr>
              <w:spacing w:line="460" w:lineRule="exact"/>
              <w:jc w:val="center"/>
              <w:rPr>
                <w:sz w:val="24"/>
              </w:rPr>
            </w:pPr>
            <w:r>
              <w:rPr>
                <w:sz w:val="24"/>
              </w:rPr>
              <w:t>包号</w:t>
            </w:r>
          </w:p>
        </w:tc>
        <w:tc>
          <w:tcPr>
            <w:tcW w:w="1278" w:type="pct"/>
            <w:vAlign w:val="center"/>
          </w:tcPr>
          <w:p w14:paraId="6FC52952">
            <w:pPr>
              <w:spacing w:line="460" w:lineRule="exact"/>
              <w:jc w:val="center"/>
              <w:rPr>
                <w:sz w:val="24"/>
              </w:rPr>
            </w:pPr>
            <w:r>
              <w:rPr>
                <w:sz w:val="24"/>
              </w:rPr>
              <w:t>服务名称</w:t>
            </w:r>
          </w:p>
        </w:tc>
        <w:tc>
          <w:tcPr>
            <w:tcW w:w="806" w:type="pct"/>
            <w:vAlign w:val="center"/>
          </w:tcPr>
          <w:p w14:paraId="0CF55FE7">
            <w:pPr>
              <w:spacing w:line="460" w:lineRule="exact"/>
              <w:jc w:val="center"/>
              <w:rPr>
                <w:sz w:val="24"/>
              </w:rPr>
            </w:pPr>
            <w:r>
              <w:rPr>
                <w:sz w:val="24"/>
              </w:rPr>
              <w:t>数量</w:t>
            </w:r>
          </w:p>
        </w:tc>
        <w:tc>
          <w:tcPr>
            <w:tcW w:w="1202" w:type="pct"/>
            <w:vAlign w:val="center"/>
          </w:tcPr>
          <w:p w14:paraId="2A915AB3">
            <w:pPr>
              <w:spacing w:line="460" w:lineRule="exact"/>
              <w:jc w:val="center"/>
              <w:rPr>
                <w:sz w:val="24"/>
              </w:rPr>
            </w:pPr>
            <w:r>
              <w:rPr>
                <w:sz w:val="24"/>
              </w:rPr>
              <w:t>投标总价</w:t>
            </w:r>
          </w:p>
        </w:tc>
        <w:tc>
          <w:tcPr>
            <w:tcW w:w="984" w:type="pct"/>
            <w:vAlign w:val="center"/>
          </w:tcPr>
          <w:p w14:paraId="2F06F281">
            <w:pPr>
              <w:spacing w:line="460" w:lineRule="exact"/>
              <w:jc w:val="center"/>
              <w:rPr>
                <w:sz w:val="24"/>
              </w:rPr>
            </w:pPr>
            <w:r>
              <w:rPr>
                <w:sz w:val="24"/>
              </w:rPr>
              <w:t>备注</w:t>
            </w:r>
          </w:p>
        </w:tc>
      </w:tr>
      <w:tr w14:paraId="7D1A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D631E81">
            <w:pPr>
              <w:spacing w:line="460" w:lineRule="exact"/>
              <w:rPr>
                <w:sz w:val="24"/>
              </w:rPr>
            </w:pPr>
          </w:p>
        </w:tc>
        <w:tc>
          <w:tcPr>
            <w:tcW w:w="1278" w:type="pct"/>
          </w:tcPr>
          <w:p w14:paraId="0EEEBE4D">
            <w:pPr>
              <w:spacing w:line="460" w:lineRule="exact"/>
              <w:rPr>
                <w:sz w:val="24"/>
              </w:rPr>
            </w:pPr>
          </w:p>
        </w:tc>
        <w:tc>
          <w:tcPr>
            <w:tcW w:w="806" w:type="pct"/>
          </w:tcPr>
          <w:p w14:paraId="36E0C731">
            <w:pPr>
              <w:spacing w:line="460" w:lineRule="exact"/>
              <w:rPr>
                <w:sz w:val="24"/>
              </w:rPr>
            </w:pPr>
          </w:p>
        </w:tc>
        <w:tc>
          <w:tcPr>
            <w:tcW w:w="1202" w:type="pct"/>
          </w:tcPr>
          <w:p w14:paraId="0BFAAE24">
            <w:pPr>
              <w:spacing w:line="460" w:lineRule="exact"/>
              <w:rPr>
                <w:sz w:val="24"/>
              </w:rPr>
            </w:pPr>
          </w:p>
        </w:tc>
        <w:tc>
          <w:tcPr>
            <w:tcW w:w="984" w:type="pct"/>
          </w:tcPr>
          <w:p w14:paraId="6A10DB04">
            <w:pPr>
              <w:spacing w:line="460" w:lineRule="exact"/>
              <w:rPr>
                <w:sz w:val="24"/>
              </w:rPr>
            </w:pPr>
          </w:p>
        </w:tc>
      </w:tr>
      <w:tr w14:paraId="0F4E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A264B43">
            <w:pPr>
              <w:spacing w:line="460" w:lineRule="exact"/>
              <w:rPr>
                <w:sz w:val="24"/>
              </w:rPr>
            </w:pPr>
          </w:p>
        </w:tc>
        <w:tc>
          <w:tcPr>
            <w:tcW w:w="1278" w:type="pct"/>
          </w:tcPr>
          <w:p w14:paraId="1E84A3F9">
            <w:pPr>
              <w:spacing w:line="460" w:lineRule="exact"/>
              <w:rPr>
                <w:sz w:val="24"/>
              </w:rPr>
            </w:pPr>
          </w:p>
        </w:tc>
        <w:tc>
          <w:tcPr>
            <w:tcW w:w="806" w:type="pct"/>
          </w:tcPr>
          <w:p w14:paraId="2F12608B">
            <w:pPr>
              <w:spacing w:line="460" w:lineRule="exact"/>
              <w:rPr>
                <w:sz w:val="24"/>
              </w:rPr>
            </w:pPr>
          </w:p>
        </w:tc>
        <w:tc>
          <w:tcPr>
            <w:tcW w:w="1202" w:type="pct"/>
          </w:tcPr>
          <w:p w14:paraId="2DA97DFB">
            <w:pPr>
              <w:spacing w:line="460" w:lineRule="exact"/>
              <w:rPr>
                <w:sz w:val="24"/>
              </w:rPr>
            </w:pPr>
          </w:p>
        </w:tc>
        <w:tc>
          <w:tcPr>
            <w:tcW w:w="984" w:type="pct"/>
          </w:tcPr>
          <w:p w14:paraId="4EA61E29">
            <w:pPr>
              <w:spacing w:line="460" w:lineRule="exact"/>
              <w:rPr>
                <w:sz w:val="24"/>
              </w:rPr>
            </w:pPr>
          </w:p>
        </w:tc>
      </w:tr>
      <w:tr w14:paraId="6CDC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27D5AF5">
            <w:pPr>
              <w:spacing w:line="460" w:lineRule="exact"/>
              <w:rPr>
                <w:sz w:val="24"/>
              </w:rPr>
            </w:pPr>
          </w:p>
        </w:tc>
        <w:tc>
          <w:tcPr>
            <w:tcW w:w="1278" w:type="pct"/>
          </w:tcPr>
          <w:p w14:paraId="5834CAAE">
            <w:pPr>
              <w:spacing w:line="460" w:lineRule="exact"/>
              <w:rPr>
                <w:sz w:val="24"/>
              </w:rPr>
            </w:pPr>
          </w:p>
        </w:tc>
        <w:tc>
          <w:tcPr>
            <w:tcW w:w="806" w:type="pct"/>
          </w:tcPr>
          <w:p w14:paraId="7F8F0567">
            <w:pPr>
              <w:spacing w:line="460" w:lineRule="exact"/>
              <w:rPr>
                <w:sz w:val="24"/>
              </w:rPr>
            </w:pPr>
          </w:p>
        </w:tc>
        <w:tc>
          <w:tcPr>
            <w:tcW w:w="1202" w:type="pct"/>
          </w:tcPr>
          <w:p w14:paraId="0D16A754">
            <w:pPr>
              <w:spacing w:line="460" w:lineRule="exact"/>
              <w:rPr>
                <w:sz w:val="24"/>
              </w:rPr>
            </w:pPr>
          </w:p>
        </w:tc>
        <w:tc>
          <w:tcPr>
            <w:tcW w:w="984" w:type="pct"/>
          </w:tcPr>
          <w:p w14:paraId="2558C0B2">
            <w:pPr>
              <w:spacing w:line="460" w:lineRule="exact"/>
              <w:rPr>
                <w:sz w:val="24"/>
              </w:rPr>
            </w:pPr>
          </w:p>
        </w:tc>
      </w:tr>
      <w:tr w14:paraId="7ED6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7D87895">
            <w:pPr>
              <w:spacing w:line="460" w:lineRule="exact"/>
              <w:rPr>
                <w:sz w:val="24"/>
              </w:rPr>
            </w:pPr>
          </w:p>
        </w:tc>
        <w:tc>
          <w:tcPr>
            <w:tcW w:w="1278" w:type="pct"/>
          </w:tcPr>
          <w:p w14:paraId="0300E0A2">
            <w:pPr>
              <w:spacing w:line="460" w:lineRule="exact"/>
              <w:rPr>
                <w:sz w:val="24"/>
              </w:rPr>
            </w:pPr>
          </w:p>
        </w:tc>
        <w:tc>
          <w:tcPr>
            <w:tcW w:w="806" w:type="pct"/>
          </w:tcPr>
          <w:p w14:paraId="0E1CBB4E">
            <w:pPr>
              <w:spacing w:line="460" w:lineRule="exact"/>
              <w:rPr>
                <w:sz w:val="24"/>
              </w:rPr>
            </w:pPr>
          </w:p>
        </w:tc>
        <w:tc>
          <w:tcPr>
            <w:tcW w:w="1202" w:type="pct"/>
          </w:tcPr>
          <w:p w14:paraId="72EEDB44">
            <w:pPr>
              <w:spacing w:line="460" w:lineRule="exact"/>
              <w:rPr>
                <w:sz w:val="24"/>
              </w:rPr>
            </w:pPr>
          </w:p>
        </w:tc>
        <w:tc>
          <w:tcPr>
            <w:tcW w:w="984" w:type="pct"/>
          </w:tcPr>
          <w:p w14:paraId="7C2E13A1">
            <w:pPr>
              <w:spacing w:line="460" w:lineRule="exact"/>
              <w:rPr>
                <w:sz w:val="24"/>
              </w:rPr>
            </w:pPr>
          </w:p>
        </w:tc>
      </w:tr>
      <w:tr w14:paraId="0A72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4209160">
            <w:pPr>
              <w:spacing w:line="460" w:lineRule="exact"/>
              <w:rPr>
                <w:sz w:val="24"/>
              </w:rPr>
            </w:pPr>
          </w:p>
        </w:tc>
        <w:tc>
          <w:tcPr>
            <w:tcW w:w="1278" w:type="pct"/>
          </w:tcPr>
          <w:p w14:paraId="0E564B85">
            <w:pPr>
              <w:spacing w:line="460" w:lineRule="exact"/>
              <w:rPr>
                <w:sz w:val="24"/>
              </w:rPr>
            </w:pPr>
          </w:p>
        </w:tc>
        <w:tc>
          <w:tcPr>
            <w:tcW w:w="806" w:type="pct"/>
          </w:tcPr>
          <w:p w14:paraId="3B5DE641">
            <w:pPr>
              <w:spacing w:line="460" w:lineRule="exact"/>
              <w:rPr>
                <w:sz w:val="24"/>
              </w:rPr>
            </w:pPr>
          </w:p>
        </w:tc>
        <w:tc>
          <w:tcPr>
            <w:tcW w:w="1202" w:type="pct"/>
          </w:tcPr>
          <w:p w14:paraId="2FA24B96">
            <w:pPr>
              <w:spacing w:line="460" w:lineRule="exact"/>
              <w:rPr>
                <w:sz w:val="24"/>
              </w:rPr>
            </w:pPr>
          </w:p>
        </w:tc>
        <w:tc>
          <w:tcPr>
            <w:tcW w:w="984" w:type="pct"/>
          </w:tcPr>
          <w:p w14:paraId="1DB5A777">
            <w:pPr>
              <w:spacing w:line="460" w:lineRule="exact"/>
              <w:rPr>
                <w:sz w:val="24"/>
              </w:rPr>
            </w:pPr>
          </w:p>
        </w:tc>
      </w:tr>
      <w:tr w14:paraId="78C5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C295D31">
            <w:pPr>
              <w:spacing w:line="460" w:lineRule="exact"/>
              <w:rPr>
                <w:sz w:val="24"/>
              </w:rPr>
            </w:pPr>
          </w:p>
        </w:tc>
        <w:tc>
          <w:tcPr>
            <w:tcW w:w="1278" w:type="pct"/>
          </w:tcPr>
          <w:p w14:paraId="7BE651A0">
            <w:pPr>
              <w:spacing w:line="460" w:lineRule="exact"/>
              <w:rPr>
                <w:sz w:val="24"/>
              </w:rPr>
            </w:pPr>
          </w:p>
        </w:tc>
        <w:tc>
          <w:tcPr>
            <w:tcW w:w="806" w:type="pct"/>
          </w:tcPr>
          <w:p w14:paraId="2646E151">
            <w:pPr>
              <w:spacing w:line="460" w:lineRule="exact"/>
              <w:rPr>
                <w:sz w:val="24"/>
              </w:rPr>
            </w:pPr>
          </w:p>
        </w:tc>
        <w:tc>
          <w:tcPr>
            <w:tcW w:w="1202" w:type="pct"/>
          </w:tcPr>
          <w:p w14:paraId="5221BD0D">
            <w:pPr>
              <w:spacing w:line="460" w:lineRule="exact"/>
              <w:rPr>
                <w:sz w:val="24"/>
              </w:rPr>
            </w:pPr>
          </w:p>
        </w:tc>
        <w:tc>
          <w:tcPr>
            <w:tcW w:w="984" w:type="pct"/>
          </w:tcPr>
          <w:p w14:paraId="6B39205F">
            <w:pPr>
              <w:spacing w:line="460" w:lineRule="exact"/>
              <w:rPr>
                <w:sz w:val="24"/>
              </w:rPr>
            </w:pPr>
          </w:p>
        </w:tc>
      </w:tr>
      <w:tr w14:paraId="247F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2034A0B">
            <w:pPr>
              <w:spacing w:line="460" w:lineRule="exact"/>
              <w:rPr>
                <w:sz w:val="24"/>
              </w:rPr>
            </w:pPr>
          </w:p>
        </w:tc>
        <w:tc>
          <w:tcPr>
            <w:tcW w:w="1278" w:type="pct"/>
          </w:tcPr>
          <w:p w14:paraId="6F34126C">
            <w:pPr>
              <w:spacing w:line="460" w:lineRule="exact"/>
              <w:rPr>
                <w:sz w:val="24"/>
              </w:rPr>
            </w:pPr>
          </w:p>
        </w:tc>
        <w:tc>
          <w:tcPr>
            <w:tcW w:w="806" w:type="pct"/>
          </w:tcPr>
          <w:p w14:paraId="49E34713">
            <w:pPr>
              <w:spacing w:line="460" w:lineRule="exact"/>
              <w:rPr>
                <w:sz w:val="24"/>
              </w:rPr>
            </w:pPr>
          </w:p>
        </w:tc>
        <w:tc>
          <w:tcPr>
            <w:tcW w:w="1202" w:type="pct"/>
          </w:tcPr>
          <w:p w14:paraId="1A8571C6">
            <w:pPr>
              <w:spacing w:line="460" w:lineRule="exact"/>
              <w:rPr>
                <w:sz w:val="24"/>
              </w:rPr>
            </w:pPr>
          </w:p>
        </w:tc>
        <w:tc>
          <w:tcPr>
            <w:tcW w:w="984" w:type="pct"/>
          </w:tcPr>
          <w:p w14:paraId="25026F55">
            <w:pPr>
              <w:spacing w:line="460" w:lineRule="exact"/>
              <w:rPr>
                <w:sz w:val="24"/>
              </w:rPr>
            </w:pPr>
          </w:p>
        </w:tc>
      </w:tr>
      <w:tr w14:paraId="1B28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A3CB8D3">
            <w:pPr>
              <w:spacing w:line="460" w:lineRule="exact"/>
              <w:rPr>
                <w:sz w:val="24"/>
              </w:rPr>
            </w:pPr>
          </w:p>
        </w:tc>
        <w:tc>
          <w:tcPr>
            <w:tcW w:w="1278" w:type="pct"/>
          </w:tcPr>
          <w:p w14:paraId="07E4A6C8">
            <w:pPr>
              <w:spacing w:line="460" w:lineRule="exact"/>
              <w:rPr>
                <w:sz w:val="24"/>
              </w:rPr>
            </w:pPr>
          </w:p>
        </w:tc>
        <w:tc>
          <w:tcPr>
            <w:tcW w:w="806" w:type="pct"/>
          </w:tcPr>
          <w:p w14:paraId="5D7BF127">
            <w:pPr>
              <w:spacing w:line="460" w:lineRule="exact"/>
              <w:rPr>
                <w:sz w:val="24"/>
              </w:rPr>
            </w:pPr>
          </w:p>
        </w:tc>
        <w:tc>
          <w:tcPr>
            <w:tcW w:w="1202" w:type="pct"/>
          </w:tcPr>
          <w:p w14:paraId="63A45B00">
            <w:pPr>
              <w:spacing w:line="460" w:lineRule="exact"/>
              <w:rPr>
                <w:sz w:val="24"/>
              </w:rPr>
            </w:pPr>
          </w:p>
        </w:tc>
        <w:tc>
          <w:tcPr>
            <w:tcW w:w="984" w:type="pct"/>
          </w:tcPr>
          <w:p w14:paraId="426141AA">
            <w:pPr>
              <w:spacing w:line="460" w:lineRule="exact"/>
              <w:rPr>
                <w:sz w:val="24"/>
              </w:rPr>
            </w:pPr>
          </w:p>
        </w:tc>
      </w:tr>
      <w:tr w14:paraId="796F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D35A67D">
            <w:pPr>
              <w:spacing w:line="460" w:lineRule="exact"/>
              <w:rPr>
                <w:sz w:val="24"/>
              </w:rPr>
            </w:pPr>
          </w:p>
        </w:tc>
        <w:tc>
          <w:tcPr>
            <w:tcW w:w="1278" w:type="pct"/>
          </w:tcPr>
          <w:p w14:paraId="6ECF0A82">
            <w:pPr>
              <w:spacing w:line="460" w:lineRule="exact"/>
              <w:rPr>
                <w:sz w:val="24"/>
              </w:rPr>
            </w:pPr>
          </w:p>
        </w:tc>
        <w:tc>
          <w:tcPr>
            <w:tcW w:w="806" w:type="pct"/>
          </w:tcPr>
          <w:p w14:paraId="2CAFE1ED">
            <w:pPr>
              <w:spacing w:line="460" w:lineRule="exact"/>
              <w:rPr>
                <w:sz w:val="24"/>
              </w:rPr>
            </w:pPr>
          </w:p>
        </w:tc>
        <w:tc>
          <w:tcPr>
            <w:tcW w:w="1202" w:type="pct"/>
          </w:tcPr>
          <w:p w14:paraId="5E9497C0">
            <w:pPr>
              <w:spacing w:line="460" w:lineRule="exact"/>
              <w:rPr>
                <w:sz w:val="24"/>
              </w:rPr>
            </w:pPr>
          </w:p>
        </w:tc>
        <w:tc>
          <w:tcPr>
            <w:tcW w:w="984" w:type="pct"/>
          </w:tcPr>
          <w:p w14:paraId="28850CF8">
            <w:pPr>
              <w:spacing w:line="460" w:lineRule="exact"/>
              <w:rPr>
                <w:sz w:val="24"/>
              </w:rPr>
            </w:pPr>
          </w:p>
        </w:tc>
      </w:tr>
      <w:tr w14:paraId="02C8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EADBB88">
            <w:pPr>
              <w:spacing w:line="460" w:lineRule="exact"/>
              <w:rPr>
                <w:sz w:val="24"/>
              </w:rPr>
            </w:pPr>
          </w:p>
        </w:tc>
        <w:tc>
          <w:tcPr>
            <w:tcW w:w="1278" w:type="pct"/>
          </w:tcPr>
          <w:p w14:paraId="0F6D286B">
            <w:pPr>
              <w:spacing w:line="460" w:lineRule="exact"/>
              <w:rPr>
                <w:sz w:val="24"/>
              </w:rPr>
            </w:pPr>
          </w:p>
        </w:tc>
        <w:tc>
          <w:tcPr>
            <w:tcW w:w="806" w:type="pct"/>
          </w:tcPr>
          <w:p w14:paraId="6BB6297B">
            <w:pPr>
              <w:spacing w:line="460" w:lineRule="exact"/>
              <w:rPr>
                <w:sz w:val="24"/>
              </w:rPr>
            </w:pPr>
          </w:p>
        </w:tc>
        <w:tc>
          <w:tcPr>
            <w:tcW w:w="1202" w:type="pct"/>
          </w:tcPr>
          <w:p w14:paraId="011CD09F">
            <w:pPr>
              <w:spacing w:line="460" w:lineRule="exact"/>
              <w:rPr>
                <w:sz w:val="24"/>
              </w:rPr>
            </w:pPr>
          </w:p>
        </w:tc>
        <w:tc>
          <w:tcPr>
            <w:tcW w:w="984" w:type="pct"/>
          </w:tcPr>
          <w:p w14:paraId="7C67E24B">
            <w:pPr>
              <w:spacing w:line="460" w:lineRule="exact"/>
              <w:rPr>
                <w:sz w:val="24"/>
              </w:rPr>
            </w:pPr>
          </w:p>
        </w:tc>
      </w:tr>
      <w:tr w14:paraId="7532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AE54C12">
            <w:pPr>
              <w:spacing w:line="460" w:lineRule="exact"/>
              <w:rPr>
                <w:sz w:val="24"/>
              </w:rPr>
            </w:pPr>
          </w:p>
        </w:tc>
        <w:tc>
          <w:tcPr>
            <w:tcW w:w="1278" w:type="pct"/>
          </w:tcPr>
          <w:p w14:paraId="63A5D54F">
            <w:pPr>
              <w:spacing w:line="460" w:lineRule="exact"/>
              <w:rPr>
                <w:sz w:val="24"/>
              </w:rPr>
            </w:pPr>
          </w:p>
        </w:tc>
        <w:tc>
          <w:tcPr>
            <w:tcW w:w="806" w:type="pct"/>
          </w:tcPr>
          <w:p w14:paraId="2108C56B">
            <w:pPr>
              <w:spacing w:line="460" w:lineRule="exact"/>
              <w:rPr>
                <w:sz w:val="24"/>
              </w:rPr>
            </w:pPr>
          </w:p>
        </w:tc>
        <w:tc>
          <w:tcPr>
            <w:tcW w:w="1202" w:type="pct"/>
          </w:tcPr>
          <w:p w14:paraId="4201CFDC">
            <w:pPr>
              <w:spacing w:line="460" w:lineRule="exact"/>
              <w:rPr>
                <w:sz w:val="24"/>
              </w:rPr>
            </w:pPr>
          </w:p>
        </w:tc>
        <w:tc>
          <w:tcPr>
            <w:tcW w:w="984" w:type="pct"/>
          </w:tcPr>
          <w:p w14:paraId="65770009">
            <w:pPr>
              <w:spacing w:line="460" w:lineRule="exact"/>
              <w:rPr>
                <w:sz w:val="24"/>
              </w:rPr>
            </w:pPr>
          </w:p>
        </w:tc>
      </w:tr>
      <w:tr w14:paraId="5B4D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EBE7980">
            <w:pPr>
              <w:spacing w:line="460" w:lineRule="exact"/>
              <w:rPr>
                <w:sz w:val="24"/>
              </w:rPr>
            </w:pPr>
          </w:p>
        </w:tc>
        <w:tc>
          <w:tcPr>
            <w:tcW w:w="1278" w:type="pct"/>
          </w:tcPr>
          <w:p w14:paraId="12DC3AE8">
            <w:pPr>
              <w:spacing w:line="460" w:lineRule="exact"/>
              <w:rPr>
                <w:sz w:val="24"/>
              </w:rPr>
            </w:pPr>
          </w:p>
        </w:tc>
        <w:tc>
          <w:tcPr>
            <w:tcW w:w="806" w:type="pct"/>
          </w:tcPr>
          <w:p w14:paraId="1E29123E">
            <w:pPr>
              <w:spacing w:line="460" w:lineRule="exact"/>
              <w:rPr>
                <w:sz w:val="24"/>
              </w:rPr>
            </w:pPr>
          </w:p>
        </w:tc>
        <w:tc>
          <w:tcPr>
            <w:tcW w:w="1202" w:type="pct"/>
          </w:tcPr>
          <w:p w14:paraId="0BF3000A">
            <w:pPr>
              <w:spacing w:line="460" w:lineRule="exact"/>
              <w:rPr>
                <w:sz w:val="24"/>
              </w:rPr>
            </w:pPr>
          </w:p>
        </w:tc>
        <w:tc>
          <w:tcPr>
            <w:tcW w:w="984" w:type="pct"/>
          </w:tcPr>
          <w:p w14:paraId="38919F47">
            <w:pPr>
              <w:spacing w:line="460" w:lineRule="exact"/>
              <w:rPr>
                <w:sz w:val="24"/>
              </w:rPr>
            </w:pPr>
          </w:p>
        </w:tc>
      </w:tr>
    </w:tbl>
    <w:p w14:paraId="7121DD62">
      <w:pPr>
        <w:spacing w:line="360" w:lineRule="auto"/>
        <w:ind w:right="84" w:firstLine="420"/>
        <w:rPr>
          <w:sz w:val="24"/>
        </w:rPr>
      </w:pPr>
    </w:p>
    <w:p w14:paraId="5775342F">
      <w:pPr>
        <w:spacing w:line="360" w:lineRule="auto"/>
        <w:ind w:right="84" w:firstLine="420"/>
        <w:rPr>
          <w:sz w:val="24"/>
        </w:rPr>
      </w:pPr>
    </w:p>
    <w:p w14:paraId="001F7777">
      <w:pPr>
        <w:spacing w:line="360" w:lineRule="auto"/>
        <w:ind w:firstLine="3808" w:firstLineChars="1700"/>
        <w:rPr>
          <w:sz w:val="24"/>
        </w:rPr>
      </w:pPr>
      <w:r>
        <w:rPr>
          <w:sz w:val="24"/>
        </w:rPr>
        <w:t>投标人名称：</w:t>
      </w:r>
    </w:p>
    <w:p w14:paraId="4EACBCB4">
      <w:pPr>
        <w:spacing w:line="360" w:lineRule="auto"/>
        <w:ind w:firstLine="3808" w:firstLineChars="1700"/>
        <w:rPr>
          <w:sz w:val="24"/>
        </w:rPr>
      </w:pPr>
    </w:p>
    <w:p w14:paraId="31550AE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9DE788C">
      <w:pPr>
        <w:spacing w:line="360" w:lineRule="auto"/>
        <w:ind w:right="84" w:firstLine="420"/>
        <w:rPr>
          <w:sz w:val="24"/>
        </w:rPr>
      </w:pPr>
    </w:p>
    <w:p w14:paraId="0F49C948">
      <w:pPr>
        <w:widowControl/>
        <w:jc w:val="left"/>
        <w:rPr>
          <w:sz w:val="24"/>
        </w:rPr>
      </w:pPr>
      <w:r>
        <w:rPr>
          <w:sz w:val="24"/>
        </w:rPr>
        <w:br w:type="page"/>
      </w:r>
    </w:p>
    <w:p w14:paraId="6438521C">
      <w:pPr>
        <w:tabs>
          <w:tab w:val="left" w:pos="360"/>
        </w:tabs>
        <w:spacing w:line="360" w:lineRule="auto"/>
        <w:rPr>
          <w:b/>
          <w:sz w:val="24"/>
        </w:rPr>
      </w:pPr>
      <w:r>
        <w:rPr>
          <w:b/>
          <w:sz w:val="24"/>
        </w:rPr>
        <w:t>附件</w:t>
      </w:r>
      <w:r>
        <w:rPr>
          <w:rFonts w:hint="eastAsia"/>
          <w:b/>
          <w:sz w:val="24"/>
        </w:rPr>
        <w:t>4</w:t>
      </w:r>
    </w:p>
    <w:p w14:paraId="1DB9583E">
      <w:pPr>
        <w:autoSpaceDN w:val="0"/>
        <w:spacing w:line="360" w:lineRule="auto"/>
        <w:jc w:val="center"/>
        <w:rPr>
          <w:b/>
          <w:bCs/>
          <w:sz w:val="24"/>
        </w:rPr>
      </w:pPr>
      <w:r>
        <w:rPr>
          <w:b/>
          <w:bCs/>
          <w:sz w:val="24"/>
        </w:rPr>
        <w:t>开标分项一览表</w:t>
      </w:r>
    </w:p>
    <w:p w14:paraId="026B778C">
      <w:pPr>
        <w:ind w:right="84"/>
        <w:rPr>
          <w:sz w:val="24"/>
        </w:rPr>
      </w:pPr>
    </w:p>
    <w:p w14:paraId="1DA8CFB4">
      <w:pPr>
        <w:spacing w:line="460" w:lineRule="exact"/>
        <w:ind w:left="192"/>
        <w:rPr>
          <w:sz w:val="24"/>
        </w:rPr>
      </w:pPr>
      <w:r>
        <w:rPr>
          <w:sz w:val="24"/>
        </w:rPr>
        <w:t>项目名称：</w:t>
      </w:r>
      <w:r>
        <w:rPr>
          <w:sz w:val="24"/>
          <w:u w:val="single"/>
        </w:rPr>
        <w:t xml:space="preserve">                    </w:t>
      </w:r>
    </w:p>
    <w:p w14:paraId="5BB905E5">
      <w:pPr>
        <w:spacing w:line="460" w:lineRule="exact"/>
        <w:ind w:left="192"/>
        <w:rPr>
          <w:sz w:val="24"/>
        </w:rPr>
      </w:pPr>
      <w:r>
        <w:rPr>
          <w:sz w:val="24"/>
        </w:rPr>
        <w:t>项目编号：</w:t>
      </w:r>
      <w:r>
        <w:rPr>
          <w:sz w:val="24"/>
          <w:u w:val="single"/>
        </w:rPr>
        <w:t xml:space="preserve">                    </w:t>
      </w:r>
    </w:p>
    <w:p w14:paraId="021B3517">
      <w:pPr>
        <w:spacing w:line="460" w:lineRule="exact"/>
        <w:ind w:left="192"/>
        <w:rPr>
          <w:sz w:val="24"/>
        </w:rPr>
      </w:pPr>
      <w:r>
        <w:rPr>
          <w:sz w:val="24"/>
        </w:rPr>
        <w:t>包    号：</w:t>
      </w:r>
      <w:r>
        <w:rPr>
          <w:sz w:val="24"/>
          <w:u w:val="single"/>
        </w:rPr>
        <w:t xml:space="preserve">                    </w:t>
      </w:r>
    </w:p>
    <w:p w14:paraId="76B8A0EA">
      <w:pPr>
        <w:spacing w:line="460" w:lineRule="exact"/>
        <w:ind w:firstLine="6496"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0A58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509596AD">
            <w:pPr>
              <w:widowControl/>
              <w:jc w:val="center"/>
              <w:rPr>
                <w:b/>
                <w:bCs/>
                <w:kern w:val="0"/>
                <w:sz w:val="24"/>
                <w:szCs w:val="24"/>
              </w:rPr>
            </w:pPr>
            <w:r>
              <w:rPr>
                <w:b/>
                <w:bCs/>
                <w:kern w:val="0"/>
                <w:sz w:val="24"/>
                <w:szCs w:val="24"/>
              </w:rPr>
              <w:t>项号</w:t>
            </w:r>
          </w:p>
        </w:tc>
        <w:tc>
          <w:tcPr>
            <w:tcW w:w="2349" w:type="dxa"/>
            <w:vAlign w:val="center"/>
          </w:tcPr>
          <w:p w14:paraId="1E7ABEDD">
            <w:pPr>
              <w:widowControl/>
              <w:jc w:val="center"/>
              <w:rPr>
                <w:b/>
                <w:bCs/>
                <w:kern w:val="0"/>
                <w:sz w:val="24"/>
                <w:szCs w:val="24"/>
              </w:rPr>
            </w:pPr>
            <w:r>
              <w:rPr>
                <w:b/>
                <w:bCs/>
                <w:kern w:val="0"/>
                <w:sz w:val="24"/>
                <w:szCs w:val="24"/>
              </w:rPr>
              <w:t>服务名称</w:t>
            </w:r>
          </w:p>
        </w:tc>
        <w:tc>
          <w:tcPr>
            <w:tcW w:w="1701" w:type="dxa"/>
            <w:vAlign w:val="center"/>
          </w:tcPr>
          <w:p w14:paraId="66FFD180">
            <w:pPr>
              <w:widowControl/>
              <w:jc w:val="center"/>
              <w:rPr>
                <w:b/>
                <w:bCs/>
                <w:kern w:val="0"/>
                <w:sz w:val="24"/>
                <w:szCs w:val="24"/>
              </w:rPr>
            </w:pPr>
            <w:r>
              <w:rPr>
                <w:b/>
                <w:bCs/>
                <w:kern w:val="0"/>
                <w:sz w:val="24"/>
                <w:szCs w:val="24"/>
              </w:rPr>
              <w:t>总价</w:t>
            </w:r>
          </w:p>
        </w:tc>
        <w:tc>
          <w:tcPr>
            <w:tcW w:w="2238" w:type="dxa"/>
            <w:vAlign w:val="center"/>
          </w:tcPr>
          <w:p w14:paraId="3B893763">
            <w:pPr>
              <w:widowControl/>
              <w:jc w:val="center"/>
              <w:rPr>
                <w:b/>
                <w:bCs/>
                <w:kern w:val="0"/>
                <w:sz w:val="24"/>
                <w:szCs w:val="24"/>
              </w:rPr>
            </w:pPr>
            <w:r>
              <w:rPr>
                <w:b/>
                <w:bCs/>
                <w:kern w:val="0"/>
                <w:sz w:val="24"/>
                <w:szCs w:val="24"/>
              </w:rPr>
              <w:t>数量</w:t>
            </w:r>
          </w:p>
        </w:tc>
        <w:tc>
          <w:tcPr>
            <w:tcW w:w="1848" w:type="dxa"/>
            <w:vAlign w:val="center"/>
          </w:tcPr>
          <w:p w14:paraId="77622AAB">
            <w:pPr>
              <w:widowControl/>
              <w:jc w:val="center"/>
              <w:rPr>
                <w:b/>
                <w:bCs/>
                <w:kern w:val="0"/>
                <w:sz w:val="24"/>
                <w:szCs w:val="24"/>
              </w:rPr>
            </w:pPr>
            <w:r>
              <w:rPr>
                <w:b/>
                <w:bCs/>
                <w:kern w:val="0"/>
                <w:sz w:val="24"/>
                <w:szCs w:val="24"/>
              </w:rPr>
              <w:t>备注</w:t>
            </w:r>
          </w:p>
        </w:tc>
      </w:tr>
      <w:tr w14:paraId="4674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6E8A5A60">
            <w:pPr>
              <w:widowControl/>
              <w:jc w:val="center"/>
              <w:rPr>
                <w:kern w:val="0"/>
                <w:sz w:val="24"/>
                <w:szCs w:val="24"/>
              </w:rPr>
            </w:pPr>
            <w:r>
              <w:rPr>
                <w:kern w:val="0"/>
                <w:sz w:val="24"/>
                <w:szCs w:val="24"/>
              </w:rPr>
              <w:t>1</w:t>
            </w:r>
          </w:p>
        </w:tc>
        <w:tc>
          <w:tcPr>
            <w:tcW w:w="2349" w:type="dxa"/>
            <w:vAlign w:val="center"/>
          </w:tcPr>
          <w:p w14:paraId="00590561">
            <w:pPr>
              <w:widowControl/>
              <w:jc w:val="center"/>
              <w:rPr>
                <w:kern w:val="0"/>
                <w:sz w:val="24"/>
                <w:szCs w:val="24"/>
              </w:rPr>
            </w:pPr>
          </w:p>
        </w:tc>
        <w:tc>
          <w:tcPr>
            <w:tcW w:w="1701" w:type="dxa"/>
            <w:vAlign w:val="center"/>
          </w:tcPr>
          <w:p w14:paraId="3F31C02C">
            <w:pPr>
              <w:widowControl/>
              <w:jc w:val="center"/>
              <w:rPr>
                <w:kern w:val="0"/>
                <w:sz w:val="24"/>
                <w:szCs w:val="24"/>
              </w:rPr>
            </w:pPr>
          </w:p>
        </w:tc>
        <w:tc>
          <w:tcPr>
            <w:tcW w:w="2238" w:type="dxa"/>
            <w:vAlign w:val="center"/>
          </w:tcPr>
          <w:p w14:paraId="7707F0B2">
            <w:pPr>
              <w:widowControl/>
              <w:jc w:val="center"/>
              <w:rPr>
                <w:sz w:val="24"/>
                <w:szCs w:val="24"/>
              </w:rPr>
            </w:pPr>
            <w:r>
              <w:rPr>
                <w:sz w:val="24"/>
                <w:szCs w:val="24"/>
              </w:rPr>
              <w:t>1项</w:t>
            </w:r>
          </w:p>
        </w:tc>
        <w:tc>
          <w:tcPr>
            <w:tcW w:w="1848" w:type="dxa"/>
            <w:vAlign w:val="center"/>
          </w:tcPr>
          <w:p w14:paraId="4A248819">
            <w:pPr>
              <w:widowControl/>
              <w:jc w:val="center"/>
              <w:rPr>
                <w:sz w:val="24"/>
                <w:szCs w:val="24"/>
              </w:rPr>
            </w:pPr>
          </w:p>
        </w:tc>
      </w:tr>
      <w:tr w14:paraId="2152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D7931D1">
            <w:pPr>
              <w:widowControl/>
              <w:jc w:val="left"/>
              <w:rPr>
                <w:kern w:val="0"/>
                <w:sz w:val="24"/>
                <w:szCs w:val="24"/>
              </w:rPr>
            </w:pPr>
            <w:r>
              <w:rPr>
                <w:kern w:val="0"/>
                <w:sz w:val="24"/>
                <w:szCs w:val="24"/>
              </w:rPr>
              <w:t>其中</w:t>
            </w:r>
          </w:p>
        </w:tc>
      </w:tr>
      <w:tr w14:paraId="68F8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50E241A">
            <w:pPr>
              <w:widowControl/>
              <w:jc w:val="left"/>
              <w:rPr>
                <w:b/>
                <w:sz w:val="24"/>
                <w:szCs w:val="24"/>
              </w:rPr>
            </w:pPr>
            <w:r>
              <w:rPr>
                <w:b/>
                <w:sz w:val="24"/>
                <w:szCs w:val="24"/>
              </w:rPr>
              <w:t>分项名称</w:t>
            </w:r>
          </w:p>
        </w:tc>
        <w:tc>
          <w:tcPr>
            <w:tcW w:w="1701" w:type="dxa"/>
            <w:vAlign w:val="center"/>
          </w:tcPr>
          <w:p w14:paraId="1AF5681D">
            <w:pPr>
              <w:widowControl/>
              <w:jc w:val="center"/>
              <w:rPr>
                <w:b/>
                <w:kern w:val="0"/>
                <w:sz w:val="24"/>
                <w:szCs w:val="24"/>
              </w:rPr>
            </w:pPr>
            <w:r>
              <w:rPr>
                <w:b/>
                <w:kern w:val="0"/>
                <w:sz w:val="24"/>
                <w:szCs w:val="24"/>
              </w:rPr>
              <w:t>价格</w:t>
            </w:r>
          </w:p>
        </w:tc>
        <w:tc>
          <w:tcPr>
            <w:tcW w:w="2238" w:type="dxa"/>
            <w:vAlign w:val="center"/>
          </w:tcPr>
          <w:p w14:paraId="68C4579A">
            <w:pPr>
              <w:widowControl/>
              <w:jc w:val="center"/>
              <w:rPr>
                <w:b/>
                <w:kern w:val="0"/>
                <w:sz w:val="24"/>
                <w:szCs w:val="24"/>
              </w:rPr>
            </w:pPr>
            <w:r>
              <w:rPr>
                <w:b/>
                <w:kern w:val="0"/>
                <w:sz w:val="24"/>
                <w:szCs w:val="24"/>
              </w:rPr>
              <w:t>数量</w:t>
            </w:r>
          </w:p>
        </w:tc>
        <w:tc>
          <w:tcPr>
            <w:tcW w:w="1848" w:type="dxa"/>
            <w:vAlign w:val="center"/>
          </w:tcPr>
          <w:p w14:paraId="6F8611A7">
            <w:pPr>
              <w:widowControl/>
              <w:jc w:val="center"/>
              <w:rPr>
                <w:b/>
                <w:bCs/>
                <w:kern w:val="0"/>
                <w:sz w:val="24"/>
                <w:szCs w:val="24"/>
              </w:rPr>
            </w:pPr>
            <w:r>
              <w:rPr>
                <w:b/>
                <w:bCs/>
                <w:kern w:val="0"/>
                <w:sz w:val="24"/>
                <w:szCs w:val="24"/>
              </w:rPr>
              <w:t>备注</w:t>
            </w:r>
          </w:p>
        </w:tc>
      </w:tr>
      <w:tr w14:paraId="0D59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A348788">
            <w:pPr>
              <w:widowControl/>
              <w:jc w:val="left"/>
              <w:rPr>
                <w:kern w:val="0"/>
                <w:sz w:val="24"/>
                <w:szCs w:val="24"/>
              </w:rPr>
            </w:pPr>
          </w:p>
        </w:tc>
        <w:tc>
          <w:tcPr>
            <w:tcW w:w="1701" w:type="dxa"/>
            <w:vAlign w:val="center"/>
          </w:tcPr>
          <w:p w14:paraId="547827A6">
            <w:pPr>
              <w:widowControl/>
              <w:jc w:val="center"/>
              <w:rPr>
                <w:kern w:val="0"/>
                <w:sz w:val="24"/>
                <w:szCs w:val="24"/>
              </w:rPr>
            </w:pPr>
          </w:p>
        </w:tc>
        <w:tc>
          <w:tcPr>
            <w:tcW w:w="2238" w:type="dxa"/>
            <w:vAlign w:val="center"/>
          </w:tcPr>
          <w:p w14:paraId="7E5DF47F">
            <w:pPr>
              <w:widowControl/>
              <w:jc w:val="center"/>
              <w:rPr>
                <w:kern w:val="0"/>
                <w:sz w:val="24"/>
                <w:szCs w:val="24"/>
              </w:rPr>
            </w:pPr>
          </w:p>
        </w:tc>
        <w:tc>
          <w:tcPr>
            <w:tcW w:w="1848" w:type="dxa"/>
            <w:vAlign w:val="center"/>
          </w:tcPr>
          <w:p w14:paraId="5F39C06E">
            <w:pPr>
              <w:widowControl/>
              <w:jc w:val="center"/>
              <w:rPr>
                <w:sz w:val="24"/>
                <w:szCs w:val="24"/>
              </w:rPr>
            </w:pPr>
          </w:p>
        </w:tc>
      </w:tr>
      <w:tr w14:paraId="2D64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44560BC">
            <w:pPr>
              <w:widowControl/>
              <w:jc w:val="left"/>
              <w:rPr>
                <w:kern w:val="0"/>
                <w:sz w:val="24"/>
                <w:szCs w:val="24"/>
              </w:rPr>
            </w:pPr>
          </w:p>
        </w:tc>
        <w:tc>
          <w:tcPr>
            <w:tcW w:w="1701" w:type="dxa"/>
            <w:vAlign w:val="center"/>
          </w:tcPr>
          <w:p w14:paraId="26278BEA">
            <w:pPr>
              <w:widowControl/>
              <w:jc w:val="center"/>
              <w:rPr>
                <w:kern w:val="0"/>
                <w:sz w:val="24"/>
                <w:szCs w:val="24"/>
              </w:rPr>
            </w:pPr>
          </w:p>
        </w:tc>
        <w:tc>
          <w:tcPr>
            <w:tcW w:w="2238" w:type="dxa"/>
            <w:vAlign w:val="center"/>
          </w:tcPr>
          <w:p w14:paraId="791269F2">
            <w:pPr>
              <w:widowControl/>
              <w:jc w:val="center"/>
              <w:rPr>
                <w:kern w:val="0"/>
                <w:sz w:val="24"/>
                <w:szCs w:val="24"/>
              </w:rPr>
            </w:pPr>
          </w:p>
        </w:tc>
        <w:tc>
          <w:tcPr>
            <w:tcW w:w="1848" w:type="dxa"/>
            <w:vAlign w:val="center"/>
          </w:tcPr>
          <w:p w14:paraId="7415C95C">
            <w:pPr>
              <w:widowControl/>
              <w:jc w:val="center"/>
              <w:rPr>
                <w:sz w:val="24"/>
                <w:szCs w:val="24"/>
              </w:rPr>
            </w:pPr>
          </w:p>
        </w:tc>
      </w:tr>
      <w:tr w14:paraId="072B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7362225">
            <w:pPr>
              <w:widowControl/>
              <w:jc w:val="left"/>
              <w:rPr>
                <w:kern w:val="0"/>
                <w:sz w:val="24"/>
                <w:szCs w:val="24"/>
              </w:rPr>
            </w:pPr>
          </w:p>
        </w:tc>
        <w:tc>
          <w:tcPr>
            <w:tcW w:w="1701" w:type="dxa"/>
            <w:vAlign w:val="center"/>
          </w:tcPr>
          <w:p w14:paraId="0B8FF085">
            <w:pPr>
              <w:widowControl/>
              <w:jc w:val="center"/>
              <w:rPr>
                <w:kern w:val="0"/>
                <w:sz w:val="24"/>
                <w:szCs w:val="24"/>
              </w:rPr>
            </w:pPr>
          </w:p>
        </w:tc>
        <w:tc>
          <w:tcPr>
            <w:tcW w:w="2238" w:type="dxa"/>
            <w:vAlign w:val="center"/>
          </w:tcPr>
          <w:p w14:paraId="13315203">
            <w:pPr>
              <w:widowControl/>
              <w:jc w:val="center"/>
              <w:rPr>
                <w:kern w:val="0"/>
                <w:sz w:val="24"/>
                <w:szCs w:val="24"/>
              </w:rPr>
            </w:pPr>
          </w:p>
        </w:tc>
        <w:tc>
          <w:tcPr>
            <w:tcW w:w="1848" w:type="dxa"/>
            <w:vAlign w:val="center"/>
          </w:tcPr>
          <w:p w14:paraId="7D3E0441">
            <w:pPr>
              <w:widowControl/>
              <w:jc w:val="center"/>
              <w:rPr>
                <w:sz w:val="24"/>
                <w:szCs w:val="24"/>
              </w:rPr>
            </w:pPr>
          </w:p>
        </w:tc>
      </w:tr>
      <w:tr w14:paraId="05B7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7286B10">
            <w:pPr>
              <w:widowControl/>
              <w:jc w:val="left"/>
              <w:rPr>
                <w:kern w:val="0"/>
                <w:sz w:val="24"/>
                <w:szCs w:val="24"/>
              </w:rPr>
            </w:pPr>
          </w:p>
        </w:tc>
        <w:tc>
          <w:tcPr>
            <w:tcW w:w="1701" w:type="dxa"/>
            <w:vAlign w:val="center"/>
          </w:tcPr>
          <w:p w14:paraId="007EBC4C">
            <w:pPr>
              <w:widowControl/>
              <w:jc w:val="center"/>
              <w:rPr>
                <w:kern w:val="0"/>
                <w:sz w:val="24"/>
                <w:szCs w:val="24"/>
              </w:rPr>
            </w:pPr>
          </w:p>
        </w:tc>
        <w:tc>
          <w:tcPr>
            <w:tcW w:w="2238" w:type="dxa"/>
            <w:vAlign w:val="center"/>
          </w:tcPr>
          <w:p w14:paraId="3393A691">
            <w:pPr>
              <w:widowControl/>
              <w:jc w:val="center"/>
              <w:rPr>
                <w:kern w:val="0"/>
                <w:sz w:val="24"/>
                <w:szCs w:val="24"/>
              </w:rPr>
            </w:pPr>
          </w:p>
        </w:tc>
        <w:tc>
          <w:tcPr>
            <w:tcW w:w="1848" w:type="dxa"/>
            <w:vAlign w:val="center"/>
          </w:tcPr>
          <w:p w14:paraId="0F850253">
            <w:pPr>
              <w:widowControl/>
              <w:jc w:val="center"/>
              <w:rPr>
                <w:sz w:val="24"/>
                <w:szCs w:val="24"/>
              </w:rPr>
            </w:pPr>
          </w:p>
        </w:tc>
      </w:tr>
      <w:tr w14:paraId="7E64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AC19700">
            <w:pPr>
              <w:widowControl/>
              <w:jc w:val="left"/>
              <w:rPr>
                <w:sz w:val="24"/>
              </w:rPr>
            </w:pPr>
          </w:p>
        </w:tc>
        <w:tc>
          <w:tcPr>
            <w:tcW w:w="1701" w:type="dxa"/>
            <w:vAlign w:val="center"/>
          </w:tcPr>
          <w:p w14:paraId="4F21F48D">
            <w:pPr>
              <w:widowControl/>
              <w:jc w:val="center"/>
              <w:rPr>
                <w:kern w:val="0"/>
                <w:sz w:val="24"/>
                <w:szCs w:val="24"/>
              </w:rPr>
            </w:pPr>
          </w:p>
        </w:tc>
        <w:tc>
          <w:tcPr>
            <w:tcW w:w="2238" w:type="dxa"/>
            <w:vAlign w:val="center"/>
          </w:tcPr>
          <w:p w14:paraId="78FC95CC">
            <w:pPr>
              <w:widowControl/>
              <w:jc w:val="center"/>
              <w:rPr>
                <w:kern w:val="0"/>
                <w:sz w:val="24"/>
                <w:szCs w:val="24"/>
              </w:rPr>
            </w:pPr>
          </w:p>
        </w:tc>
        <w:tc>
          <w:tcPr>
            <w:tcW w:w="1848" w:type="dxa"/>
            <w:vAlign w:val="center"/>
          </w:tcPr>
          <w:p w14:paraId="0FF9B504">
            <w:pPr>
              <w:widowControl/>
              <w:jc w:val="center"/>
              <w:rPr>
                <w:kern w:val="0"/>
                <w:sz w:val="24"/>
                <w:szCs w:val="24"/>
              </w:rPr>
            </w:pPr>
          </w:p>
        </w:tc>
      </w:tr>
      <w:tr w14:paraId="49AF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39F8172">
            <w:pPr>
              <w:widowControl/>
              <w:jc w:val="left"/>
              <w:rPr>
                <w:sz w:val="24"/>
              </w:rPr>
            </w:pPr>
          </w:p>
        </w:tc>
        <w:tc>
          <w:tcPr>
            <w:tcW w:w="1701" w:type="dxa"/>
            <w:vAlign w:val="center"/>
          </w:tcPr>
          <w:p w14:paraId="1A4E8468">
            <w:pPr>
              <w:widowControl/>
              <w:jc w:val="center"/>
              <w:rPr>
                <w:kern w:val="0"/>
                <w:sz w:val="24"/>
                <w:szCs w:val="24"/>
              </w:rPr>
            </w:pPr>
          </w:p>
        </w:tc>
        <w:tc>
          <w:tcPr>
            <w:tcW w:w="2238" w:type="dxa"/>
            <w:vAlign w:val="center"/>
          </w:tcPr>
          <w:p w14:paraId="15E145AB">
            <w:pPr>
              <w:widowControl/>
              <w:jc w:val="center"/>
              <w:rPr>
                <w:kern w:val="0"/>
                <w:sz w:val="24"/>
                <w:szCs w:val="24"/>
              </w:rPr>
            </w:pPr>
          </w:p>
        </w:tc>
        <w:tc>
          <w:tcPr>
            <w:tcW w:w="1848" w:type="dxa"/>
            <w:vAlign w:val="center"/>
          </w:tcPr>
          <w:p w14:paraId="199E3147">
            <w:pPr>
              <w:widowControl/>
              <w:jc w:val="center"/>
              <w:rPr>
                <w:kern w:val="0"/>
                <w:sz w:val="24"/>
                <w:szCs w:val="24"/>
              </w:rPr>
            </w:pPr>
          </w:p>
        </w:tc>
      </w:tr>
      <w:tr w14:paraId="7C2D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7846F00">
            <w:pPr>
              <w:widowControl/>
              <w:jc w:val="center"/>
              <w:rPr>
                <w:sz w:val="24"/>
              </w:rPr>
            </w:pPr>
          </w:p>
        </w:tc>
        <w:tc>
          <w:tcPr>
            <w:tcW w:w="1701" w:type="dxa"/>
            <w:vAlign w:val="center"/>
          </w:tcPr>
          <w:p w14:paraId="4A3341F4">
            <w:pPr>
              <w:widowControl/>
              <w:jc w:val="center"/>
              <w:rPr>
                <w:kern w:val="0"/>
                <w:sz w:val="24"/>
                <w:szCs w:val="24"/>
              </w:rPr>
            </w:pPr>
          </w:p>
        </w:tc>
        <w:tc>
          <w:tcPr>
            <w:tcW w:w="2238" w:type="dxa"/>
            <w:vAlign w:val="center"/>
          </w:tcPr>
          <w:p w14:paraId="47490BA0">
            <w:pPr>
              <w:widowControl/>
              <w:jc w:val="center"/>
              <w:rPr>
                <w:kern w:val="0"/>
                <w:sz w:val="24"/>
                <w:szCs w:val="24"/>
              </w:rPr>
            </w:pPr>
          </w:p>
        </w:tc>
        <w:tc>
          <w:tcPr>
            <w:tcW w:w="1848" w:type="dxa"/>
            <w:vAlign w:val="center"/>
          </w:tcPr>
          <w:p w14:paraId="04DF6807">
            <w:pPr>
              <w:widowControl/>
              <w:jc w:val="center"/>
              <w:rPr>
                <w:kern w:val="0"/>
                <w:sz w:val="24"/>
                <w:szCs w:val="24"/>
              </w:rPr>
            </w:pPr>
          </w:p>
        </w:tc>
      </w:tr>
    </w:tbl>
    <w:p w14:paraId="2DE9FB9D">
      <w:pPr>
        <w:ind w:left="180"/>
        <w:rPr>
          <w:sz w:val="22"/>
          <w:szCs w:val="24"/>
        </w:rPr>
      </w:pPr>
      <w:r>
        <w:rPr>
          <w:sz w:val="22"/>
          <w:szCs w:val="24"/>
        </w:rPr>
        <w:t>注：1. 本表第一行填写本项目投标总价，须与附件</w:t>
      </w:r>
      <w:r>
        <w:rPr>
          <w:rFonts w:hint="eastAsia"/>
          <w:sz w:val="22"/>
          <w:szCs w:val="24"/>
        </w:rPr>
        <w:t>3</w:t>
      </w:r>
      <w:r>
        <w:rPr>
          <w:sz w:val="22"/>
          <w:szCs w:val="24"/>
        </w:rPr>
        <w:t>中投标总价保持一致。</w:t>
      </w:r>
    </w:p>
    <w:p w14:paraId="4C344D2A">
      <w:pPr>
        <w:ind w:left="180" w:firstLine="408" w:firstLineChars="200"/>
      </w:pPr>
      <w:r>
        <w:rPr>
          <w:sz w:val="22"/>
          <w:szCs w:val="24"/>
        </w:rPr>
        <w:t>2. 下面应填写分项价格及分项名称（分项名称可根据实际情况增减、修改），分项价格汇总应等于总价。</w:t>
      </w:r>
    </w:p>
    <w:p w14:paraId="52151A04">
      <w:pPr>
        <w:spacing w:line="360" w:lineRule="auto"/>
        <w:ind w:firstLine="3808" w:firstLineChars="1700"/>
        <w:rPr>
          <w:sz w:val="24"/>
        </w:rPr>
      </w:pPr>
      <w:r>
        <w:rPr>
          <w:sz w:val="24"/>
        </w:rPr>
        <w:t>投标人名称：</w:t>
      </w:r>
    </w:p>
    <w:p w14:paraId="3A2621AF">
      <w:pPr>
        <w:spacing w:line="360" w:lineRule="auto"/>
        <w:ind w:firstLine="3808" w:firstLineChars="1700"/>
        <w:rPr>
          <w:sz w:val="24"/>
        </w:rPr>
      </w:pPr>
    </w:p>
    <w:p w14:paraId="77E23BD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6F16A1E">
      <w:pPr>
        <w:widowControl/>
        <w:jc w:val="left"/>
        <w:rPr>
          <w:sz w:val="24"/>
        </w:rPr>
      </w:pPr>
      <w:r>
        <w:rPr>
          <w:sz w:val="24"/>
        </w:rPr>
        <w:br w:type="page"/>
      </w:r>
    </w:p>
    <w:p w14:paraId="48B3F0EB">
      <w:pPr>
        <w:tabs>
          <w:tab w:val="left" w:pos="360"/>
        </w:tabs>
        <w:spacing w:line="360" w:lineRule="auto"/>
        <w:rPr>
          <w:b/>
          <w:sz w:val="24"/>
        </w:rPr>
      </w:pPr>
      <w:r>
        <w:rPr>
          <w:b/>
          <w:sz w:val="24"/>
        </w:rPr>
        <w:t>附件</w:t>
      </w:r>
      <w:r>
        <w:rPr>
          <w:rFonts w:hint="eastAsia"/>
          <w:b/>
          <w:sz w:val="24"/>
        </w:rPr>
        <w:t>5</w:t>
      </w:r>
    </w:p>
    <w:p w14:paraId="1BC6F81B">
      <w:pPr>
        <w:autoSpaceDN w:val="0"/>
        <w:spacing w:line="360" w:lineRule="auto"/>
        <w:jc w:val="center"/>
        <w:rPr>
          <w:b/>
          <w:bCs/>
          <w:sz w:val="24"/>
        </w:rPr>
      </w:pPr>
      <w:r>
        <w:rPr>
          <w:b/>
          <w:bCs/>
          <w:sz w:val="24"/>
        </w:rPr>
        <w:t>商务要求点对点应答表</w:t>
      </w:r>
    </w:p>
    <w:p w14:paraId="66CBE894">
      <w:pPr>
        <w:spacing w:line="460" w:lineRule="exact"/>
        <w:rPr>
          <w:sz w:val="24"/>
        </w:rPr>
      </w:pPr>
    </w:p>
    <w:p w14:paraId="2CC2D02D">
      <w:pPr>
        <w:spacing w:line="460" w:lineRule="exact"/>
        <w:rPr>
          <w:sz w:val="24"/>
        </w:rPr>
      </w:pPr>
      <w:r>
        <w:rPr>
          <w:sz w:val="24"/>
        </w:rPr>
        <w:t>项目名称：</w:t>
      </w:r>
      <w:r>
        <w:rPr>
          <w:sz w:val="24"/>
          <w:u w:val="single"/>
        </w:rPr>
        <w:t xml:space="preserve">                    </w:t>
      </w:r>
    </w:p>
    <w:p w14:paraId="491243D0">
      <w:pPr>
        <w:spacing w:line="460" w:lineRule="exact"/>
        <w:rPr>
          <w:sz w:val="24"/>
        </w:rPr>
      </w:pPr>
      <w:r>
        <w:rPr>
          <w:sz w:val="24"/>
        </w:rPr>
        <w:t>项目编号：</w:t>
      </w:r>
      <w:r>
        <w:rPr>
          <w:sz w:val="24"/>
          <w:u w:val="single"/>
        </w:rPr>
        <w:t xml:space="preserve">                    </w:t>
      </w:r>
    </w:p>
    <w:p w14:paraId="32EDC386">
      <w:pPr>
        <w:spacing w:line="460" w:lineRule="exact"/>
        <w:rPr>
          <w:sz w:val="24"/>
          <w:u w:val="single"/>
        </w:rPr>
      </w:pPr>
      <w:r>
        <w:rPr>
          <w:sz w:val="24"/>
        </w:rPr>
        <w:t>包号：</w:t>
      </w:r>
      <w:r>
        <w:rPr>
          <w:sz w:val="24"/>
          <w:u w:val="single"/>
        </w:rPr>
        <w:t xml:space="preserve">                        </w:t>
      </w:r>
    </w:p>
    <w:p w14:paraId="76005B7B">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365D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089F5C1C">
            <w:pPr>
              <w:widowControl/>
              <w:jc w:val="center"/>
              <w:rPr>
                <w:color w:val="000000"/>
                <w:kern w:val="0"/>
                <w:szCs w:val="21"/>
              </w:rPr>
            </w:pPr>
            <w:r>
              <w:rPr>
                <w:color w:val="000000"/>
                <w:kern w:val="0"/>
                <w:szCs w:val="21"/>
              </w:rPr>
              <w:t>序号</w:t>
            </w:r>
          </w:p>
        </w:tc>
        <w:tc>
          <w:tcPr>
            <w:tcW w:w="1274" w:type="pct"/>
            <w:shd w:val="clear" w:color="auto" w:fill="auto"/>
            <w:vAlign w:val="center"/>
          </w:tcPr>
          <w:p w14:paraId="73A1F4A9">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163F99BC">
            <w:pPr>
              <w:widowControl/>
              <w:jc w:val="center"/>
              <w:rPr>
                <w:color w:val="000000"/>
                <w:kern w:val="0"/>
                <w:szCs w:val="21"/>
              </w:rPr>
            </w:pPr>
            <w:r>
              <w:rPr>
                <w:color w:val="000000"/>
                <w:kern w:val="0"/>
                <w:szCs w:val="21"/>
              </w:rPr>
              <w:t>投标应答</w:t>
            </w:r>
          </w:p>
        </w:tc>
        <w:tc>
          <w:tcPr>
            <w:tcW w:w="648" w:type="pct"/>
            <w:shd w:val="clear" w:color="auto" w:fill="auto"/>
            <w:vAlign w:val="center"/>
          </w:tcPr>
          <w:p w14:paraId="4D1F5536">
            <w:pPr>
              <w:widowControl/>
              <w:jc w:val="center"/>
              <w:rPr>
                <w:color w:val="000000"/>
                <w:kern w:val="0"/>
                <w:szCs w:val="21"/>
              </w:rPr>
            </w:pPr>
            <w:r>
              <w:rPr>
                <w:color w:val="000000"/>
                <w:kern w:val="0"/>
                <w:szCs w:val="21"/>
              </w:rPr>
              <w:t>偏离说明</w:t>
            </w:r>
          </w:p>
        </w:tc>
        <w:tc>
          <w:tcPr>
            <w:tcW w:w="647" w:type="pct"/>
            <w:shd w:val="clear" w:color="auto" w:fill="auto"/>
            <w:vAlign w:val="center"/>
          </w:tcPr>
          <w:p w14:paraId="46B5D668">
            <w:pPr>
              <w:widowControl/>
              <w:jc w:val="center"/>
              <w:rPr>
                <w:color w:val="000000"/>
                <w:kern w:val="0"/>
                <w:szCs w:val="21"/>
              </w:rPr>
            </w:pPr>
            <w:r>
              <w:rPr>
                <w:color w:val="000000"/>
                <w:kern w:val="0"/>
                <w:szCs w:val="21"/>
              </w:rPr>
              <w:t>备注</w:t>
            </w:r>
          </w:p>
        </w:tc>
      </w:tr>
      <w:tr w14:paraId="336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C3C315A">
            <w:pPr>
              <w:widowControl/>
              <w:jc w:val="left"/>
              <w:rPr>
                <w:color w:val="000000"/>
                <w:kern w:val="0"/>
                <w:szCs w:val="21"/>
              </w:rPr>
            </w:pPr>
            <w:r>
              <w:rPr>
                <w:color w:val="000000"/>
                <w:kern w:val="0"/>
                <w:szCs w:val="21"/>
              </w:rPr>
              <w:t>（一）报价要求</w:t>
            </w:r>
          </w:p>
        </w:tc>
      </w:tr>
      <w:tr w14:paraId="1B0F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28A0E600">
            <w:pPr>
              <w:widowControl/>
              <w:jc w:val="left"/>
              <w:rPr>
                <w:color w:val="000000"/>
                <w:kern w:val="0"/>
                <w:szCs w:val="21"/>
              </w:rPr>
            </w:pPr>
            <w:r>
              <w:rPr>
                <w:color w:val="000000"/>
                <w:kern w:val="0"/>
                <w:szCs w:val="21"/>
              </w:rPr>
              <w:t>　</w:t>
            </w:r>
          </w:p>
        </w:tc>
        <w:tc>
          <w:tcPr>
            <w:tcW w:w="1274" w:type="pct"/>
            <w:shd w:val="clear" w:color="auto" w:fill="auto"/>
            <w:vAlign w:val="center"/>
          </w:tcPr>
          <w:p w14:paraId="07B628F2">
            <w:pPr>
              <w:widowControl/>
              <w:jc w:val="left"/>
              <w:rPr>
                <w:color w:val="000000"/>
                <w:kern w:val="0"/>
                <w:szCs w:val="21"/>
              </w:rPr>
            </w:pPr>
            <w:r>
              <w:rPr>
                <w:color w:val="000000"/>
                <w:kern w:val="0"/>
                <w:szCs w:val="21"/>
              </w:rPr>
              <w:t>　</w:t>
            </w:r>
          </w:p>
        </w:tc>
        <w:tc>
          <w:tcPr>
            <w:tcW w:w="1457" w:type="pct"/>
            <w:shd w:val="clear" w:color="auto" w:fill="auto"/>
            <w:vAlign w:val="center"/>
          </w:tcPr>
          <w:p w14:paraId="35CF8527">
            <w:pPr>
              <w:widowControl/>
              <w:jc w:val="left"/>
              <w:rPr>
                <w:color w:val="000000"/>
                <w:kern w:val="0"/>
                <w:szCs w:val="21"/>
              </w:rPr>
            </w:pPr>
            <w:r>
              <w:rPr>
                <w:color w:val="000000"/>
                <w:kern w:val="0"/>
                <w:szCs w:val="21"/>
              </w:rPr>
              <w:t>　</w:t>
            </w:r>
          </w:p>
        </w:tc>
        <w:tc>
          <w:tcPr>
            <w:tcW w:w="648" w:type="pct"/>
            <w:shd w:val="clear" w:color="auto" w:fill="auto"/>
            <w:vAlign w:val="center"/>
          </w:tcPr>
          <w:p w14:paraId="3E533996">
            <w:pPr>
              <w:widowControl/>
              <w:jc w:val="left"/>
              <w:rPr>
                <w:color w:val="000000"/>
                <w:kern w:val="0"/>
                <w:szCs w:val="21"/>
              </w:rPr>
            </w:pPr>
            <w:r>
              <w:rPr>
                <w:color w:val="000000"/>
                <w:kern w:val="0"/>
                <w:szCs w:val="21"/>
              </w:rPr>
              <w:t>　</w:t>
            </w:r>
          </w:p>
        </w:tc>
        <w:tc>
          <w:tcPr>
            <w:tcW w:w="647" w:type="pct"/>
            <w:shd w:val="clear" w:color="auto" w:fill="auto"/>
            <w:vAlign w:val="center"/>
          </w:tcPr>
          <w:p w14:paraId="633B875F">
            <w:pPr>
              <w:widowControl/>
              <w:jc w:val="left"/>
              <w:rPr>
                <w:color w:val="000000"/>
                <w:kern w:val="0"/>
                <w:szCs w:val="21"/>
              </w:rPr>
            </w:pPr>
            <w:r>
              <w:rPr>
                <w:color w:val="000000"/>
                <w:kern w:val="0"/>
                <w:szCs w:val="21"/>
              </w:rPr>
              <w:t>　</w:t>
            </w:r>
          </w:p>
        </w:tc>
      </w:tr>
      <w:tr w14:paraId="17ED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2BAB214">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4096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D6E7A3B">
            <w:pPr>
              <w:widowControl/>
              <w:jc w:val="left"/>
              <w:rPr>
                <w:color w:val="000000"/>
                <w:kern w:val="0"/>
                <w:szCs w:val="21"/>
              </w:rPr>
            </w:pPr>
            <w:r>
              <w:rPr>
                <w:color w:val="000000"/>
                <w:kern w:val="0"/>
                <w:szCs w:val="21"/>
              </w:rPr>
              <w:t>　</w:t>
            </w:r>
          </w:p>
        </w:tc>
        <w:tc>
          <w:tcPr>
            <w:tcW w:w="1274" w:type="pct"/>
            <w:shd w:val="clear" w:color="auto" w:fill="auto"/>
            <w:vAlign w:val="center"/>
          </w:tcPr>
          <w:p w14:paraId="112A6F89">
            <w:pPr>
              <w:widowControl/>
              <w:jc w:val="left"/>
              <w:rPr>
                <w:color w:val="000000"/>
                <w:kern w:val="0"/>
                <w:szCs w:val="21"/>
              </w:rPr>
            </w:pPr>
            <w:r>
              <w:rPr>
                <w:color w:val="000000"/>
                <w:kern w:val="0"/>
                <w:szCs w:val="21"/>
              </w:rPr>
              <w:t>　</w:t>
            </w:r>
          </w:p>
        </w:tc>
        <w:tc>
          <w:tcPr>
            <w:tcW w:w="1457" w:type="pct"/>
            <w:shd w:val="clear" w:color="auto" w:fill="auto"/>
            <w:vAlign w:val="center"/>
          </w:tcPr>
          <w:p w14:paraId="0127AA95">
            <w:pPr>
              <w:widowControl/>
              <w:jc w:val="left"/>
              <w:rPr>
                <w:color w:val="000000"/>
                <w:kern w:val="0"/>
                <w:szCs w:val="21"/>
              </w:rPr>
            </w:pPr>
            <w:r>
              <w:rPr>
                <w:color w:val="000000"/>
                <w:kern w:val="0"/>
                <w:szCs w:val="21"/>
              </w:rPr>
              <w:t>　</w:t>
            </w:r>
          </w:p>
        </w:tc>
        <w:tc>
          <w:tcPr>
            <w:tcW w:w="648" w:type="pct"/>
            <w:shd w:val="clear" w:color="auto" w:fill="auto"/>
            <w:vAlign w:val="center"/>
          </w:tcPr>
          <w:p w14:paraId="33081DD9">
            <w:pPr>
              <w:widowControl/>
              <w:jc w:val="left"/>
              <w:rPr>
                <w:color w:val="000000"/>
                <w:kern w:val="0"/>
                <w:szCs w:val="21"/>
              </w:rPr>
            </w:pPr>
            <w:r>
              <w:rPr>
                <w:color w:val="000000"/>
                <w:kern w:val="0"/>
                <w:szCs w:val="21"/>
              </w:rPr>
              <w:t>　</w:t>
            </w:r>
          </w:p>
        </w:tc>
        <w:tc>
          <w:tcPr>
            <w:tcW w:w="647" w:type="pct"/>
            <w:shd w:val="clear" w:color="auto" w:fill="auto"/>
            <w:vAlign w:val="center"/>
          </w:tcPr>
          <w:p w14:paraId="132AD4CB">
            <w:pPr>
              <w:widowControl/>
              <w:jc w:val="left"/>
              <w:rPr>
                <w:color w:val="000000"/>
                <w:kern w:val="0"/>
                <w:szCs w:val="21"/>
              </w:rPr>
            </w:pPr>
            <w:r>
              <w:rPr>
                <w:color w:val="000000"/>
                <w:kern w:val="0"/>
                <w:szCs w:val="21"/>
              </w:rPr>
              <w:t>　</w:t>
            </w:r>
          </w:p>
        </w:tc>
      </w:tr>
      <w:tr w14:paraId="0B70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E26BF8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4F1C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0B3FA61">
            <w:pPr>
              <w:widowControl/>
              <w:jc w:val="left"/>
              <w:rPr>
                <w:color w:val="000000"/>
                <w:kern w:val="0"/>
                <w:szCs w:val="21"/>
              </w:rPr>
            </w:pPr>
            <w:r>
              <w:rPr>
                <w:color w:val="000000"/>
                <w:kern w:val="0"/>
                <w:szCs w:val="21"/>
              </w:rPr>
              <w:t>　</w:t>
            </w:r>
          </w:p>
        </w:tc>
        <w:tc>
          <w:tcPr>
            <w:tcW w:w="1274" w:type="pct"/>
            <w:shd w:val="clear" w:color="auto" w:fill="auto"/>
            <w:vAlign w:val="center"/>
          </w:tcPr>
          <w:p w14:paraId="60E59DB6">
            <w:pPr>
              <w:widowControl/>
              <w:jc w:val="left"/>
              <w:rPr>
                <w:color w:val="000000"/>
                <w:kern w:val="0"/>
                <w:szCs w:val="21"/>
              </w:rPr>
            </w:pPr>
            <w:r>
              <w:rPr>
                <w:color w:val="000000"/>
                <w:kern w:val="0"/>
                <w:szCs w:val="21"/>
              </w:rPr>
              <w:t>　</w:t>
            </w:r>
          </w:p>
        </w:tc>
        <w:tc>
          <w:tcPr>
            <w:tcW w:w="1457" w:type="pct"/>
            <w:shd w:val="clear" w:color="auto" w:fill="auto"/>
            <w:vAlign w:val="center"/>
          </w:tcPr>
          <w:p w14:paraId="6C8A1053">
            <w:pPr>
              <w:widowControl/>
              <w:jc w:val="left"/>
              <w:rPr>
                <w:color w:val="000000"/>
                <w:kern w:val="0"/>
                <w:szCs w:val="21"/>
              </w:rPr>
            </w:pPr>
            <w:r>
              <w:rPr>
                <w:color w:val="000000"/>
                <w:kern w:val="0"/>
                <w:szCs w:val="21"/>
              </w:rPr>
              <w:t>　</w:t>
            </w:r>
          </w:p>
        </w:tc>
        <w:tc>
          <w:tcPr>
            <w:tcW w:w="648" w:type="pct"/>
            <w:shd w:val="clear" w:color="auto" w:fill="auto"/>
            <w:vAlign w:val="center"/>
          </w:tcPr>
          <w:p w14:paraId="512A9AD0">
            <w:pPr>
              <w:widowControl/>
              <w:jc w:val="left"/>
              <w:rPr>
                <w:color w:val="000000"/>
                <w:kern w:val="0"/>
                <w:szCs w:val="21"/>
              </w:rPr>
            </w:pPr>
            <w:r>
              <w:rPr>
                <w:color w:val="000000"/>
                <w:kern w:val="0"/>
                <w:szCs w:val="21"/>
              </w:rPr>
              <w:t>　</w:t>
            </w:r>
          </w:p>
        </w:tc>
        <w:tc>
          <w:tcPr>
            <w:tcW w:w="647" w:type="pct"/>
            <w:shd w:val="clear" w:color="auto" w:fill="auto"/>
            <w:vAlign w:val="center"/>
          </w:tcPr>
          <w:p w14:paraId="40F71A47">
            <w:pPr>
              <w:widowControl/>
              <w:jc w:val="left"/>
              <w:rPr>
                <w:color w:val="000000"/>
                <w:kern w:val="0"/>
                <w:szCs w:val="21"/>
              </w:rPr>
            </w:pPr>
            <w:r>
              <w:rPr>
                <w:color w:val="000000"/>
                <w:kern w:val="0"/>
                <w:szCs w:val="21"/>
              </w:rPr>
              <w:t>　</w:t>
            </w:r>
          </w:p>
        </w:tc>
      </w:tr>
      <w:tr w14:paraId="48E5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EA4E790">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41D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8AD2F78">
            <w:pPr>
              <w:widowControl/>
              <w:jc w:val="left"/>
              <w:rPr>
                <w:color w:val="000000"/>
                <w:kern w:val="0"/>
                <w:szCs w:val="21"/>
              </w:rPr>
            </w:pPr>
            <w:r>
              <w:rPr>
                <w:color w:val="000000"/>
                <w:kern w:val="0"/>
                <w:szCs w:val="21"/>
              </w:rPr>
              <w:t>　</w:t>
            </w:r>
          </w:p>
        </w:tc>
        <w:tc>
          <w:tcPr>
            <w:tcW w:w="1274" w:type="pct"/>
            <w:shd w:val="clear" w:color="auto" w:fill="auto"/>
            <w:vAlign w:val="center"/>
          </w:tcPr>
          <w:p w14:paraId="4BAE6799">
            <w:pPr>
              <w:widowControl/>
              <w:jc w:val="left"/>
              <w:rPr>
                <w:color w:val="000000"/>
                <w:kern w:val="0"/>
                <w:szCs w:val="21"/>
              </w:rPr>
            </w:pPr>
            <w:r>
              <w:rPr>
                <w:color w:val="000000"/>
                <w:kern w:val="0"/>
                <w:szCs w:val="21"/>
              </w:rPr>
              <w:t>　</w:t>
            </w:r>
          </w:p>
        </w:tc>
        <w:tc>
          <w:tcPr>
            <w:tcW w:w="1457" w:type="pct"/>
            <w:shd w:val="clear" w:color="auto" w:fill="auto"/>
            <w:vAlign w:val="center"/>
          </w:tcPr>
          <w:p w14:paraId="027A4603">
            <w:pPr>
              <w:widowControl/>
              <w:jc w:val="left"/>
              <w:rPr>
                <w:color w:val="000000"/>
                <w:kern w:val="0"/>
                <w:szCs w:val="21"/>
              </w:rPr>
            </w:pPr>
            <w:r>
              <w:rPr>
                <w:color w:val="000000"/>
                <w:kern w:val="0"/>
                <w:szCs w:val="21"/>
              </w:rPr>
              <w:t>　</w:t>
            </w:r>
          </w:p>
        </w:tc>
        <w:tc>
          <w:tcPr>
            <w:tcW w:w="648" w:type="pct"/>
            <w:shd w:val="clear" w:color="auto" w:fill="auto"/>
            <w:vAlign w:val="center"/>
          </w:tcPr>
          <w:p w14:paraId="3CFE9096">
            <w:pPr>
              <w:widowControl/>
              <w:jc w:val="left"/>
              <w:rPr>
                <w:color w:val="000000"/>
                <w:kern w:val="0"/>
                <w:szCs w:val="21"/>
              </w:rPr>
            </w:pPr>
            <w:r>
              <w:rPr>
                <w:color w:val="000000"/>
                <w:kern w:val="0"/>
                <w:szCs w:val="21"/>
              </w:rPr>
              <w:t>　</w:t>
            </w:r>
          </w:p>
        </w:tc>
        <w:tc>
          <w:tcPr>
            <w:tcW w:w="647" w:type="pct"/>
            <w:shd w:val="clear" w:color="auto" w:fill="auto"/>
            <w:vAlign w:val="center"/>
          </w:tcPr>
          <w:p w14:paraId="04E5225F">
            <w:pPr>
              <w:widowControl/>
              <w:jc w:val="left"/>
              <w:rPr>
                <w:color w:val="000000"/>
                <w:kern w:val="0"/>
                <w:szCs w:val="21"/>
              </w:rPr>
            </w:pPr>
            <w:r>
              <w:rPr>
                <w:color w:val="000000"/>
                <w:kern w:val="0"/>
                <w:szCs w:val="21"/>
              </w:rPr>
              <w:t>　</w:t>
            </w:r>
          </w:p>
        </w:tc>
      </w:tr>
      <w:tr w14:paraId="1870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A78732D">
            <w:pPr>
              <w:widowControl/>
              <w:jc w:val="left"/>
              <w:rPr>
                <w:color w:val="000000"/>
                <w:kern w:val="0"/>
                <w:szCs w:val="21"/>
              </w:rPr>
            </w:pPr>
            <w:r>
              <w:rPr>
                <w:rFonts w:hint="eastAsia"/>
                <w:color w:val="000000"/>
                <w:kern w:val="0"/>
                <w:szCs w:val="21"/>
              </w:rPr>
              <w:t>（五）验收方法及标准</w:t>
            </w:r>
          </w:p>
        </w:tc>
      </w:tr>
      <w:tr w14:paraId="175B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CA9F000">
            <w:pPr>
              <w:widowControl/>
              <w:jc w:val="left"/>
              <w:rPr>
                <w:color w:val="000000"/>
                <w:kern w:val="0"/>
                <w:szCs w:val="21"/>
              </w:rPr>
            </w:pPr>
          </w:p>
        </w:tc>
        <w:tc>
          <w:tcPr>
            <w:tcW w:w="1274" w:type="pct"/>
            <w:shd w:val="clear" w:color="auto" w:fill="auto"/>
            <w:vAlign w:val="center"/>
          </w:tcPr>
          <w:p w14:paraId="2B4D41B1">
            <w:pPr>
              <w:widowControl/>
              <w:jc w:val="left"/>
              <w:rPr>
                <w:color w:val="000000"/>
                <w:kern w:val="0"/>
                <w:szCs w:val="21"/>
              </w:rPr>
            </w:pPr>
          </w:p>
        </w:tc>
        <w:tc>
          <w:tcPr>
            <w:tcW w:w="1457" w:type="pct"/>
            <w:shd w:val="clear" w:color="auto" w:fill="auto"/>
            <w:vAlign w:val="center"/>
          </w:tcPr>
          <w:p w14:paraId="0EC8E129">
            <w:pPr>
              <w:widowControl/>
              <w:jc w:val="left"/>
              <w:rPr>
                <w:color w:val="000000"/>
                <w:kern w:val="0"/>
                <w:szCs w:val="21"/>
              </w:rPr>
            </w:pPr>
          </w:p>
        </w:tc>
        <w:tc>
          <w:tcPr>
            <w:tcW w:w="648" w:type="pct"/>
            <w:shd w:val="clear" w:color="auto" w:fill="auto"/>
            <w:vAlign w:val="center"/>
          </w:tcPr>
          <w:p w14:paraId="3038481B">
            <w:pPr>
              <w:widowControl/>
              <w:jc w:val="left"/>
              <w:rPr>
                <w:color w:val="000000"/>
                <w:kern w:val="0"/>
                <w:szCs w:val="21"/>
              </w:rPr>
            </w:pPr>
          </w:p>
        </w:tc>
        <w:tc>
          <w:tcPr>
            <w:tcW w:w="647" w:type="pct"/>
            <w:shd w:val="clear" w:color="auto" w:fill="auto"/>
            <w:vAlign w:val="center"/>
          </w:tcPr>
          <w:p w14:paraId="1FFEA971">
            <w:pPr>
              <w:widowControl/>
              <w:jc w:val="left"/>
              <w:rPr>
                <w:color w:val="000000"/>
                <w:kern w:val="0"/>
                <w:szCs w:val="21"/>
              </w:rPr>
            </w:pPr>
          </w:p>
        </w:tc>
      </w:tr>
    </w:tbl>
    <w:p w14:paraId="739A06D5">
      <w:pPr>
        <w:spacing w:line="360" w:lineRule="auto"/>
        <w:ind w:firstLine="448" w:firstLineChars="200"/>
        <w:rPr>
          <w:sz w:val="24"/>
        </w:rPr>
      </w:pPr>
      <w:r>
        <w:rPr>
          <w:sz w:val="24"/>
        </w:rPr>
        <w:t>注：</w:t>
      </w:r>
    </w:p>
    <w:p w14:paraId="73E9EDCC">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2AF4591">
      <w:pPr>
        <w:spacing w:line="360" w:lineRule="auto"/>
        <w:ind w:firstLine="448" w:firstLineChars="200"/>
        <w:rPr>
          <w:sz w:val="24"/>
        </w:rPr>
      </w:pPr>
      <w:r>
        <w:rPr>
          <w:rFonts w:hint="eastAsia"/>
          <w:sz w:val="24"/>
        </w:rPr>
        <w:t>2</w:t>
      </w:r>
      <w:r>
        <w:rPr>
          <w:sz w:val="24"/>
        </w:rPr>
        <w:t>. 不如实填写偏离情况的投标文件将视为虚假材料。</w:t>
      </w:r>
    </w:p>
    <w:p w14:paraId="582B2A48">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65BE26D5">
      <w:pPr>
        <w:spacing w:line="360" w:lineRule="auto"/>
        <w:rPr>
          <w:sz w:val="24"/>
        </w:rPr>
      </w:pPr>
    </w:p>
    <w:p w14:paraId="7039F2B0">
      <w:pPr>
        <w:spacing w:line="360" w:lineRule="auto"/>
        <w:ind w:firstLine="3808" w:firstLineChars="1700"/>
        <w:rPr>
          <w:sz w:val="24"/>
        </w:rPr>
      </w:pPr>
      <w:r>
        <w:rPr>
          <w:sz w:val="24"/>
        </w:rPr>
        <w:t>投标人名称：</w:t>
      </w:r>
    </w:p>
    <w:p w14:paraId="62A7A306">
      <w:pPr>
        <w:spacing w:line="360" w:lineRule="auto"/>
        <w:ind w:firstLine="3808" w:firstLineChars="1700"/>
        <w:rPr>
          <w:sz w:val="24"/>
        </w:rPr>
      </w:pPr>
    </w:p>
    <w:p w14:paraId="52D2874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7FDCD0">
      <w:pPr>
        <w:tabs>
          <w:tab w:val="left" w:pos="360"/>
        </w:tabs>
        <w:spacing w:line="360" w:lineRule="auto"/>
        <w:rPr>
          <w:b/>
          <w:sz w:val="24"/>
        </w:rPr>
      </w:pPr>
      <w:r>
        <w:rPr>
          <w:sz w:val="24"/>
        </w:rPr>
        <w:br w:type="page"/>
      </w:r>
      <w:r>
        <w:rPr>
          <w:b/>
          <w:sz w:val="24"/>
        </w:rPr>
        <w:t>附件</w:t>
      </w:r>
      <w:r>
        <w:rPr>
          <w:rFonts w:hint="eastAsia"/>
          <w:b/>
          <w:sz w:val="24"/>
        </w:rPr>
        <w:t>6</w:t>
      </w:r>
    </w:p>
    <w:p w14:paraId="19C38167">
      <w:pPr>
        <w:spacing w:line="360" w:lineRule="auto"/>
        <w:jc w:val="center"/>
        <w:rPr>
          <w:b/>
          <w:bCs/>
          <w:sz w:val="24"/>
          <w:szCs w:val="24"/>
        </w:rPr>
      </w:pPr>
      <w:r>
        <w:rPr>
          <w:rFonts w:ascii="宋体" w:hAnsi="宋体"/>
          <w:b/>
          <w:bCs/>
          <w:sz w:val="24"/>
          <w:szCs w:val="24"/>
        </w:rPr>
        <w:t>技术要求偏离应答表</w:t>
      </w:r>
    </w:p>
    <w:p w14:paraId="7CAE8883">
      <w:pPr>
        <w:spacing w:line="460" w:lineRule="exact"/>
        <w:rPr>
          <w:sz w:val="24"/>
        </w:rPr>
      </w:pPr>
      <w:r>
        <w:rPr>
          <w:sz w:val="24"/>
        </w:rPr>
        <w:t>项目名称：</w:t>
      </w:r>
      <w:r>
        <w:rPr>
          <w:sz w:val="24"/>
          <w:u w:val="single"/>
        </w:rPr>
        <w:t xml:space="preserve">                    </w:t>
      </w:r>
    </w:p>
    <w:p w14:paraId="41932FD4">
      <w:pPr>
        <w:spacing w:line="460" w:lineRule="exact"/>
        <w:rPr>
          <w:sz w:val="24"/>
        </w:rPr>
      </w:pPr>
      <w:r>
        <w:rPr>
          <w:sz w:val="24"/>
        </w:rPr>
        <w:t>项目编号：</w:t>
      </w:r>
      <w:r>
        <w:rPr>
          <w:sz w:val="24"/>
          <w:u w:val="single"/>
        </w:rPr>
        <w:t xml:space="preserve">                    </w:t>
      </w:r>
    </w:p>
    <w:p w14:paraId="245E68BB">
      <w:pPr>
        <w:spacing w:line="460" w:lineRule="exact"/>
        <w:rPr>
          <w:sz w:val="24"/>
          <w:u w:val="single"/>
        </w:rPr>
      </w:pPr>
      <w:r>
        <w:rPr>
          <w:sz w:val="24"/>
        </w:rPr>
        <w:t>包号：</w:t>
      </w:r>
      <w:r>
        <w:rPr>
          <w:sz w:val="24"/>
          <w:u w:val="single"/>
        </w:rPr>
        <w:t xml:space="preserve">                        </w:t>
      </w:r>
    </w:p>
    <w:p w14:paraId="30DC4A84">
      <w:pPr>
        <w:spacing w:line="460" w:lineRule="exact"/>
        <w:rPr>
          <w:sz w:val="24"/>
          <w:szCs w:val="24"/>
          <w:u w:val="single"/>
        </w:rPr>
      </w:pPr>
    </w:p>
    <w:p w14:paraId="44280F83">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554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272B5D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20DCC423">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60EC35B">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CA08EAD">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6A74614">
            <w:pPr>
              <w:widowControl/>
              <w:snapToGrid w:val="0"/>
              <w:jc w:val="center"/>
              <w:rPr>
                <w:kern w:val="0"/>
                <w:sz w:val="24"/>
                <w:szCs w:val="24"/>
              </w:rPr>
            </w:pPr>
            <w:r>
              <w:rPr>
                <w:rFonts w:ascii="宋体" w:hAnsi="宋体"/>
                <w:kern w:val="0"/>
                <w:sz w:val="24"/>
                <w:szCs w:val="24"/>
              </w:rPr>
              <w:t>备注</w:t>
            </w:r>
          </w:p>
        </w:tc>
      </w:tr>
      <w:tr w14:paraId="470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D214E5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5786D8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6E4A7B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286F8F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EA90590">
            <w:pPr>
              <w:widowControl/>
              <w:snapToGrid w:val="0"/>
              <w:jc w:val="center"/>
              <w:rPr>
                <w:kern w:val="0"/>
                <w:sz w:val="24"/>
                <w:szCs w:val="24"/>
              </w:rPr>
            </w:pPr>
          </w:p>
        </w:tc>
      </w:tr>
      <w:tr w14:paraId="4C21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BB8AB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33980C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460D53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838C96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E0B538A">
            <w:pPr>
              <w:widowControl/>
              <w:snapToGrid w:val="0"/>
              <w:jc w:val="center"/>
              <w:rPr>
                <w:kern w:val="0"/>
                <w:sz w:val="24"/>
                <w:szCs w:val="24"/>
              </w:rPr>
            </w:pPr>
          </w:p>
        </w:tc>
      </w:tr>
      <w:tr w14:paraId="046C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47ED40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525FB8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EBC20B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6FCC03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216287F">
            <w:pPr>
              <w:widowControl/>
              <w:snapToGrid w:val="0"/>
              <w:jc w:val="center"/>
              <w:rPr>
                <w:kern w:val="0"/>
                <w:sz w:val="24"/>
                <w:szCs w:val="24"/>
              </w:rPr>
            </w:pPr>
          </w:p>
        </w:tc>
      </w:tr>
      <w:tr w14:paraId="7F2C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8C7392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EF7179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29089D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79436F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FC3C947">
            <w:pPr>
              <w:widowControl/>
              <w:snapToGrid w:val="0"/>
              <w:jc w:val="center"/>
              <w:rPr>
                <w:kern w:val="0"/>
                <w:sz w:val="24"/>
                <w:szCs w:val="24"/>
              </w:rPr>
            </w:pPr>
          </w:p>
        </w:tc>
      </w:tr>
      <w:tr w14:paraId="46BC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7F27E0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59A2EC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78DF4B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0D5CC0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86FD7F3">
            <w:pPr>
              <w:widowControl/>
              <w:snapToGrid w:val="0"/>
              <w:jc w:val="center"/>
              <w:rPr>
                <w:kern w:val="0"/>
                <w:sz w:val="24"/>
                <w:szCs w:val="24"/>
              </w:rPr>
            </w:pPr>
          </w:p>
        </w:tc>
      </w:tr>
    </w:tbl>
    <w:p w14:paraId="50FEEAE2">
      <w:pPr>
        <w:spacing w:line="360" w:lineRule="auto"/>
        <w:ind w:firstLine="448" w:firstLineChars="200"/>
        <w:rPr>
          <w:sz w:val="24"/>
          <w:szCs w:val="24"/>
        </w:rPr>
      </w:pPr>
      <w:r>
        <w:rPr>
          <w:rFonts w:ascii="宋体" w:hAnsi="宋体"/>
          <w:sz w:val="24"/>
          <w:szCs w:val="24"/>
        </w:rPr>
        <w:t>注：</w:t>
      </w:r>
    </w:p>
    <w:p w14:paraId="76238D96">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73DA38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637D0833">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5B90FA9">
      <w:pPr>
        <w:spacing w:line="360" w:lineRule="auto"/>
        <w:rPr>
          <w:sz w:val="24"/>
        </w:rPr>
      </w:pPr>
    </w:p>
    <w:p w14:paraId="7F707CC0">
      <w:pPr>
        <w:spacing w:line="360" w:lineRule="auto"/>
        <w:ind w:firstLine="3808" w:firstLineChars="1700"/>
        <w:rPr>
          <w:sz w:val="24"/>
        </w:rPr>
      </w:pPr>
      <w:r>
        <w:rPr>
          <w:sz w:val="24"/>
        </w:rPr>
        <w:t>投标人名称：</w:t>
      </w:r>
    </w:p>
    <w:p w14:paraId="0D0F3865">
      <w:pPr>
        <w:spacing w:line="360" w:lineRule="auto"/>
        <w:ind w:firstLine="3808" w:firstLineChars="1700"/>
        <w:rPr>
          <w:sz w:val="24"/>
        </w:rPr>
      </w:pPr>
    </w:p>
    <w:p w14:paraId="728B5C9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07BB32A">
      <w:pPr>
        <w:tabs>
          <w:tab w:val="left" w:pos="360"/>
        </w:tabs>
        <w:spacing w:line="360" w:lineRule="auto"/>
        <w:rPr>
          <w:b/>
          <w:sz w:val="24"/>
        </w:rPr>
      </w:pPr>
      <w:r>
        <w:rPr>
          <w:sz w:val="24"/>
        </w:rPr>
        <w:br w:type="page"/>
      </w:r>
      <w:r>
        <w:rPr>
          <w:b/>
          <w:sz w:val="24"/>
        </w:rPr>
        <w:t>附件</w:t>
      </w:r>
      <w:r>
        <w:rPr>
          <w:rFonts w:hint="eastAsia"/>
          <w:b/>
          <w:sz w:val="24"/>
        </w:rPr>
        <w:t>7</w:t>
      </w:r>
    </w:p>
    <w:p w14:paraId="0BED6F2A">
      <w:pPr>
        <w:autoSpaceDN w:val="0"/>
        <w:spacing w:line="360" w:lineRule="auto"/>
        <w:jc w:val="center"/>
        <w:rPr>
          <w:b/>
          <w:bCs/>
          <w:sz w:val="24"/>
        </w:rPr>
      </w:pPr>
      <w:r>
        <w:rPr>
          <w:b/>
          <w:sz w:val="24"/>
        </w:rPr>
        <w:t>主要相关项目业绩一览表</w:t>
      </w:r>
    </w:p>
    <w:p w14:paraId="16FE0B77">
      <w:pPr>
        <w:spacing w:line="460" w:lineRule="exact"/>
        <w:ind w:left="192"/>
        <w:rPr>
          <w:sz w:val="24"/>
        </w:rPr>
      </w:pPr>
    </w:p>
    <w:p w14:paraId="1853425F">
      <w:pPr>
        <w:spacing w:line="460" w:lineRule="exact"/>
        <w:rPr>
          <w:sz w:val="24"/>
        </w:rPr>
      </w:pPr>
      <w:r>
        <w:rPr>
          <w:sz w:val="24"/>
        </w:rPr>
        <w:t>项目名称：</w:t>
      </w:r>
      <w:r>
        <w:rPr>
          <w:sz w:val="24"/>
          <w:u w:val="single"/>
        </w:rPr>
        <w:t xml:space="preserve">                    </w:t>
      </w:r>
    </w:p>
    <w:p w14:paraId="6E4E4089">
      <w:pPr>
        <w:spacing w:line="460" w:lineRule="exact"/>
        <w:rPr>
          <w:sz w:val="24"/>
        </w:rPr>
      </w:pPr>
      <w:r>
        <w:rPr>
          <w:sz w:val="24"/>
        </w:rPr>
        <w:t>项目编号：</w:t>
      </w:r>
      <w:r>
        <w:rPr>
          <w:sz w:val="24"/>
          <w:u w:val="single"/>
        </w:rPr>
        <w:t xml:space="preserve">                    </w:t>
      </w:r>
    </w:p>
    <w:p w14:paraId="5DCDE243">
      <w:pPr>
        <w:spacing w:line="460" w:lineRule="exact"/>
        <w:rPr>
          <w:sz w:val="24"/>
          <w:u w:val="single"/>
        </w:rPr>
      </w:pPr>
      <w:r>
        <w:rPr>
          <w:sz w:val="24"/>
        </w:rPr>
        <w:t>包号：</w:t>
      </w:r>
      <w:r>
        <w:rPr>
          <w:sz w:val="24"/>
          <w:u w:val="single"/>
        </w:rPr>
        <w:t xml:space="preserve">                        </w:t>
      </w:r>
    </w:p>
    <w:p w14:paraId="098119D0">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44F8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3521F18">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BC67420">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9A9B34A">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3A116CA3">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07818EF1">
            <w:pPr>
              <w:snapToGrid w:val="0"/>
              <w:jc w:val="center"/>
              <w:rPr>
                <w:sz w:val="24"/>
              </w:rPr>
            </w:pPr>
            <w:r>
              <w:rPr>
                <w:sz w:val="24"/>
              </w:rPr>
              <w:t>项目起止时间</w:t>
            </w:r>
          </w:p>
        </w:tc>
      </w:tr>
      <w:tr w14:paraId="7F03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9AE48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6B787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244024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9C79A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FD46AA">
            <w:pPr>
              <w:snapToGrid w:val="0"/>
              <w:jc w:val="center"/>
              <w:rPr>
                <w:sz w:val="24"/>
              </w:rPr>
            </w:pPr>
          </w:p>
        </w:tc>
      </w:tr>
      <w:tr w14:paraId="078F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BAADE5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D96A1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3C8DC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9F26DF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E14AE3D">
            <w:pPr>
              <w:snapToGrid w:val="0"/>
              <w:jc w:val="center"/>
              <w:rPr>
                <w:sz w:val="24"/>
              </w:rPr>
            </w:pPr>
          </w:p>
        </w:tc>
      </w:tr>
      <w:tr w14:paraId="327A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EF367B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9A249C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9E20B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FC8282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B0498FF">
            <w:pPr>
              <w:snapToGrid w:val="0"/>
              <w:jc w:val="center"/>
              <w:rPr>
                <w:sz w:val="24"/>
              </w:rPr>
            </w:pPr>
          </w:p>
        </w:tc>
      </w:tr>
      <w:tr w14:paraId="5983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E9E7C5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3447A0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DF456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EBEBFC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68582D7">
            <w:pPr>
              <w:snapToGrid w:val="0"/>
              <w:jc w:val="center"/>
              <w:rPr>
                <w:sz w:val="24"/>
              </w:rPr>
            </w:pPr>
          </w:p>
        </w:tc>
      </w:tr>
      <w:tr w14:paraId="6F7D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1BA3EF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97A3F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F6C69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868546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E228D64">
            <w:pPr>
              <w:snapToGrid w:val="0"/>
              <w:jc w:val="center"/>
              <w:rPr>
                <w:sz w:val="24"/>
              </w:rPr>
            </w:pPr>
          </w:p>
        </w:tc>
      </w:tr>
      <w:tr w14:paraId="58B2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8AFB8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ACA434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0223A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49A9B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8BA1936">
            <w:pPr>
              <w:snapToGrid w:val="0"/>
              <w:jc w:val="center"/>
              <w:rPr>
                <w:sz w:val="24"/>
              </w:rPr>
            </w:pPr>
          </w:p>
        </w:tc>
      </w:tr>
      <w:tr w14:paraId="4645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66A1A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602CEB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2D6217">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B6FF53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4121AD5">
            <w:pPr>
              <w:snapToGrid w:val="0"/>
              <w:jc w:val="center"/>
              <w:rPr>
                <w:sz w:val="24"/>
              </w:rPr>
            </w:pPr>
          </w:p>
        </w:tc>
      </w:tr>
      <w:tr w14:paraId="5BA9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D1CFA1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ED8828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C679CD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C8BF9F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84D39F6">
            <w:pPr>
              <w:snapToGrid w:val="0"/>
              <w:jc w:val="center"/>
              <w:rPr>
                <w:sz w:val="24"/>
              </w:rPr>
            </w:pPr>
          </w:p>
        </w:tc>
      </w:tr>
      <w:tr w14:paraId="3D2E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9C65E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AFA656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B1BB1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DA2258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C273135">
            <w:pPr>
              <w:snapToGrid w:val="0"/>
              <w:jc w:val="center"/>
              <w:rPr>
                <w:sz w:val="24"/>
              </w:rPr>
            </w:pPr>
          </w:p>
        </w:tc>
      </w:tr>
      <w:tr w14:paraId="2F3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67EA60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13126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CA14A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E62A5F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36271AA">
            <w:pPr>
              <w:snapToGrid w:val="0"/>
              <w:jc w:val="center"/>
              <w:rPr>
                <w:sz w:val="24"/>
              </w:rPr>
            </w:pPr>
          </w:p>
        </w:tc>
      </w:tr>
      <w:tr w14:paraId="5A8C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9986DB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AAC52C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F26CC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453CE5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0B02F76">
            <w:pPr>
              <w:snapToGrid w:val="0"/>
              <w:jc w:val="center"/>
              <w:rPr>
                <w:sz w:val="24"/>
              </w:rPr>
            </w:pPr>
          </w:p>
        </w:tc>
      </w:tr>
    </w:tbl>
    <w:p w14:paraId="7A3F8BB0">
      <w:pPr>
        <w:spacing w:line="560" w:lineRule="exact"/>
        <w:rPr>
          <w:sz w:val="24"/>
        </w:rPr>
      </w:pPr>
      <w:r>
        <w:rPr>
          <w:sz w:val="24"/>
        </w:rPr>
        <w:t>备注：若招标文件第二部分评分因素及评标标准中要求提供业绩的，投标人所列业绩应按其要求将证明材料按顺序附后。</w:t>
      </w:r>
    </w:p>
    <w:p w14:paraId="21F6B7E4">
      <w:pPr>
        <w:spacing w:line="560" w:lineRule="exact"/>
        <w:rPr>
          <w:sz w:val="24"/>
        </w:rPr>
      </w:pPr>
    </w:p>
    <w:p w14:paraId="4C0B54C1">
      <w:pPr>
        <w:spacing w:line="360" w:lineRule="auto"/>
        <w:ind w:firstLine="3808" w:firstLineChars="1700"/>
        <w:rPr>
          <w:sz w:val="24"/>
        </w:rPr>
      </w:pPr>
      <w:r>
        <w:rPr>
          <w:sz w:val="24"/>
        </w:rPr>
        <w:t>投标人名称：</w:t>
      </w:r>
    </w:p>
    <w:p w14:paraId="33FA369A">
      <w:pPr>
        <w:spacing w:line="360" w:lineRule="auto"/>
        <w:ind w:firstLine="3808" w:firstLineChars="1700"/>
        <w:rPr>
          <w:sz w:val="24"/>
        </w:rPr>
      </w:pPr>
    </w:p>
    <w:p w14:paraId="5974D13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FC83DF4">
      <w:pPr>
        <w:spacing w:line="460" w:lineRule="exact"/>
        <w:rPr>
          <w:sz w:val="24"/>
        </w:rPr>
      </w:pPr>
    </w:p>
    <w:p w14:paraId="1FBEE5FD">
      <w:pPr>
        <w:widowControl/>
        <w:jc w:val="left"/>
        <w:rPr>
          <w:sz w:val="24"/>
        </w:rPr>
      </w:pPr>
      <w:r>
        <w:rPr>
          <w:sz w:val="24"/>
        </w:rPr>
        <w:br w:type="page"/>
      </w:r>
    </w:p>
    <w:p w14:paraId="47DCE341">
      <w:pPr>
        <w:tabs>
          <w:tab w:val="left" w:pos="360"/>
        </w:tabs>
        <w:spacing w:line="360" w:lineRule="auto"/>
        <w:rPr>
          <w:b/>
          <w:sz w:val="24"/>
        </w:rPr>
      </w:pPr>
      <w:r>
        <w:rPr>
          <w:b/>
          <w:sz w:val="24"/>
        </w:rPr>
        <w:t>附件</w:t>
      </w:r>
      <w:r>
        <w:rPr>
          <w:rFonts w:hint="eastAsia"/>
          <w:b/>
          <w:sz w:val="24"/>
        </w:rPr>
        <w:t>8</w:t>
      </w:r>
    </w:p>
    <w:p w14:paraId="22C424C0">
      <w:pPr>
        <w:autoSpaceDN w:val="0"/>
        <w:spacing w:line="360" w:lineRule="auto"/>
        <w:jc w:val="center"/>
        <w:rPr>
          <w:b/>
          <w:bCs/>
          <w:sz w:val="24"/>
        </w:rPr>
      </w:pPr>
      <w:r>
        <w:rPr>
          <w:rFonts w:hint="eastAsia"/>
          <w:b/>
          <w:bCs/>
          <w:sz w:val="24"/>
        </w:rPr>
        <w:t>投标</w:t>
      </w:r>
      <w:r>
        <w:rPr>
          <w:b/>
          <w:bCs/>
          <w:sz w:val="24"/>
        </w:rPr>
        <w:t>代表人授权书</w:t>
      </w:r>
    </w:p>
    <w:p w14:paraId="5D73AED8">
      <w:pPr>
        <w:spacing w:line="360" w:lineRule="auto"/>
        <w:rPr>
          <w:sz w:val="24"/>
          <w:szCs w:val="21"/>
        </w:rPr>
      </w:pPr>
    </w:p>
    <w:p w14:paraId="411FF2EC">
      <w:pPr>
        <w:spacing w:line="360" w:lineRule="auto"/>
        <w:rPr>
          <w:sz w:val="24"/>
          <w:szCs w:val="21"/>
        </w:rPr>
      </w:pPr>
      <w:r>
        <w:rPr>
          <w:sz w:val="24"/>
          <w:szCs w:val="21"/>
        </w:rPr>
        <w:t>致：天津市政府采购中心</w:t>
      </w:r>
    </w:p>
    <w:p w14:paraId="1EF7064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0774F35">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3DB62AD">
      <w:pPr>
        <w:spacing w:line="360" w:lineRule="auto"/>
        <w:ind w:firstLine="448" w:firstLineChars="200"/>
        <w:rPr>
          <w:sz w:val="24"/>
          <w:szCs w:val="21"/>
        </w:rPr>
      </w:pPr>
      <w:r>
        <w:rPr>
          <w:sz w:val="24"/>
          <w:szCs w:val="21"/>
        </w:rPr>
        <w:t>本授权书至投标有效期结束前始终有效。</w:t>
      </w:r>
    </w:p>
    <w:p w14:paraId="46B23746">
      <w:pPr>
        <w:spacing w:line="360" w:lineRule="auto"/>
        <w:ind w:firstLine="448" w:firstLineChars="200"/>
        <w:rPr>
          <w:sz w:val="24"/>
          <w:szCs w:val="21"/>
        </w:rPr>
      </w:pPr>
      <w:r>
        <w:rPr>
          <w:sz w:val="24"/>
          <w:szCs w:val="21"/>
        </w:rPr>
        <w:t>投标代表人无转委托权，特此委托。</w:t>
      </w:r>
    </w:p>
    <w:p w14:paraId="5370BEC1">
      <w:pPr>
        <w:spacing w:line="360" w:lineRule="auto"/>
        <w:ind w:firstLine="448" w:firstLineChars="200"/>
        <w:rPr>
          <w:sz w:val="24"/>
        </w:rPr>
      </w:pPr>
    </w:p>
    <w:p w14:paraId="53029FC2">
      <w:pPr>
        <w:spacing w:line="360" w:lineRule="auto"/>
        <w:ind w:firstLine="448" w:firstLineChars="200"/>
        <w:rPr>
          <w:sz w:val="24"/>
        </w:rPr>
      </w:pPr>
    </w:p>
    <w:p w14:paraId="212D02D1">
      <w:pPr>
        <w:spacing w:line="480" w:lineRule="auto"/>
        <w:jc w:val="center"/>
        <w:rPr>
          <w:sz w:val="24"/>
        </w:rPr>
      </w:pPr>
      <w:r>
        <w:rPr>
          <w:sz w:val="24"/>
        </w:rPr>
        <w:t xml:space="preserve">     年   月   日 </w:t>
      </w:r>
    </w:p>
    <w:p w14:paraId="213043B5">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E15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9DB9D28">
            <w:pPr>
              <w:spacing w:line="360" w:lineRule="auto"/>
              <w:jc w:val="left"/>
              <w:rPr>
                <w:sz w:val="24"/>
              </w:rPr>
            </w:pPr>
            <w:r>
              <w:rPr>
                <w:sz w:val="24"/>
              </w:rPr>
              <w:t>投标代表人身份证正面</w:t>
            </w:r>
          </w:p>
          <w:p w14:paraId="76E3325F">
            <w:pPr>
              <w:spacing w:line="360" w:lineRule="auto"/>
              <w:jc w:val="left"/>
              <w:rPr>
                <w:sz w:val="24"/>
              </w:rPr>
            </w:pPr>
          </w:p>
          <w:p w14:paraId="7695FCE0">
            <w:pPr>
              <w:spacing w:line="360" w:lineRule="auto"/>
              <w:jc w:val="left"/>
              <w:rPr>
                <w:sz w:val="24"/>
              </w:rPr>
            </w:pPr>
          </w:p>
          <w:p w14:paraId="28EAB6D7">
            <w:pPr>
              <w:spacing w:line="360" w:lineRule="auto"/>
              <w:jc w:val="left"/>
              <w:rPr>
                <w:sz w:val="24"/>
              </w:rPr>
            </w:pPr>
          </w:p>
          <w:p w14:paraId="19AECF41">
            <w:pPr>
              <w:spacing w:line="360" w:lineRule="auto"/>
              <w:jc w:val="left"/>
              <w:rPr>
                <w:sz w:val="24"/>
              </w:rPr>
            </w:pPr>
          </w:p>
          <w:p w14:paraId="7F59340B">
            <w:pPr>
              <w:spacing w:line="360" w:lineRule="auto"/>
              <w:jc w:val="left"/>
              <w:rPr>
                <w:sz w:val="24"/>
              </w:rPr>
            </w:pPr>
          </w:p>
        </w:tc>
        <w:tc>
          <w:tcPr>
            <w:tcW w:w="4264" w:type="dxa"/>
          </w:tcPr>
          <w:p w14:paraId="1063EC08">
            <w:pPr>
              <w:spacing w:line="360" w:lineRule="auto"/>
              <w:jc w:val="left"/>
              <w:rPr>
                <w:sz w:val="24"/>
              </w:rPr>
            </w:pPr>
            <w:r>
              <w:rPr>
                <w:sz w:val="24"/>
              </w:rPr>
              <w:t>投标代表人身份证背面</w:t>
            </w:r>
          </w:p>
        </w:tc>
      </w:tr>
    </w:tbl>
    <w:p w14:paraId="6AD5205A">
      <w:pPr>
        <w:widowControl/>
        <w:jc w:val="left"/>
        <w:rPr>
          <w:sz w:val="24"/>
        </w:rPr>
      </w:pPr>
      <w:r>
        <w:rPr>
          <w:sz w:val="24"/>
        </w:rPr>
        <w:br w:type="page"/>
      </w:r>
    </w:p>
    <w:p w14:paraId="641CD53D">
      <w:pPr>
        <w:autoSpaceDN w:val="0"/>
        <w:spacing w:line="360" w:lineRule="auto"/>
        <w:jc w:val="left"/>
        <w:rPr>
          <w:b/>
          <w:bCs/>
          <w:sz w:val="24"/>
        </w:rPr>
      </w:pPr>
      <w:r>
        <w:rPr>
          <w:b/>
          <w:bCs/>
          <w:sz w:val="24"/>
        </w:rPr>
        <w:t>附件</w:t>
      </w:r>
      <w:r>
        <w:rPr>
          <w:rFonts w:hint="eastAsia"/>
          <w:b/>
          <w:bCs/>
          <w:sz w:val="24"/>
        </w:rPr>
        <w:t>9-1</w:t>
      </w:r>
    </w:p>
    <w:p w14:paraId="486E5B02">
      <w:pPr>
        <w:autoSpaceDE w:val="0"/>
        <w:autoSpaceDN w:val="0"/>
        <w:spacing w:line="480" w:lineRule="auto"/>
        <w:jc w:val="center"/>
        <w:rPr>
          <w:sz w:val="24"/>
          <w:szCs w:val="24"/>
        </w:rPr>
      </w:pPr>
      <w:r>
        <w:rPr>
          <w:b/>
          <w:sz w:val="24"/>
          <w:szCs w:val="24"/>
        </w:rPr>
        <w:t>中小企业声明函（服务）</w:t>
      </w:r>
    </w:p>
    <w:p w14:paraId="0B2C72F5">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6278B4F">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F97E096">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5EB63B9">
      <w:pPr>
        <w:autoSpaceDE w:val="0"/>
        <w:autoSpaceDN w:val="0"/>
        <w:spacing w:line="500" w:lineRule="exact"/>
        <w:ind w:left="641"/>
        <w:jc w:val="left"/>
        <w:rPr>
          <w:sz w:val="24"/>
          <w:szCs w:val="24"/>
        </w:rPr>
      </w:pPr>
      <w:r>
        <w:rPr>
          <w:sz w:val="24"/>
          <w:szCs w:val="24"/>
        </w:rPr>
        <w:t>……</w:t>
      </w:r>
    </w:p>
    <w:p w14:paraId="4EE54E3B">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00BC9995">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E2B34EE">
      <w:pPr>
        <w:autoSpaceDE w:val="0"/>
        <w:autoSpaceDN w:val="0"/>
        <w:spacing w:line="500" w:lineRule="exact"/>
        <w:ind w:left="3840"/>
        <w:jc w:val="left"/>
        <w:rPr>
          <w:sz w:val="24"/>
          <w:szCs w:val="24"/>
        </w:rPr>
      </w:pPr>
      <w:r>
        <w:rPr>
          <w:sz w:val="24"/>
          <w:szCs w:val="24"/>
        </w:rPr>
        <w:t>投标人名称：</w:t>
      </w:r>
    </w:p>
    <w:p w14:paraId="44565452">
      <w:pPr>
        <w:autoSpaceDE w:val="0"/>
        <w:autoSpaceDN w:val="0"/>
        <w:spacing w:line="500" w:lineRule="exact"/>
        <w:ind w:left="3840"/>
        <w:jc w:val="left"/>
        <w:rPr>
          <w:sz w:val="32"/>
        </w:rPr>
      </w:pPr>
      <w:r>
        <w:rPr>
          <w:sz w:val="24"/>
          <w:szCs w:val="24"/>
        </w:rPr>
        <w:t>日期：</w:t>
      </w:r>
    </w:p>
    <w:p w14:paraId="00BD53E0">
      <w:pPr>
        <w:spacing w:line="360" w:lineRule="auto"/>
        <w:ind w:right="84" w:firstLine="224" w:firstLineChars="100"/>
        <w:rPr>
          <w:b/>
          <w:sz w:val="24"/>
          <w:szCs w:val="24"/>
        </w:rPr>
      </w:pPr>
      <w:r>
        <w:rPr>
          <w:b/>
          <w:sz w:val="24"/>
          <w:szCs w:val="24"/>
        </w:rPr>
        <w:t>注：</w:t>
      </w:r>
    </w:p>
    <w:p w14:paraId="140F0F57">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4E80B143">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26F287EA">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2A3BFEE1">
      <w:pPr>
        <w:widowControl/>
        <w:jc w:val="left"/>
        <w:rPr>
          <w:sz w:val="24"/>
        </w:rPr>
      </w:pPr>
      <w:r>
        <w:rPr>
          <w:sz w:val="24"/>
        </w:rPr>
        <w:br w:type="page"/>
      </w:r>
    </w:p>
    <w:p w14:paraId="2F7CDFB4">
      <w:pPr>
        <w:autoSpaceDN w:val="0"/>
        <w:spacing w:line="360" w:lineRule="auto"/>
        <w:rPr>
          <w:b/>
          <w:bCs/>
          <w:sz w:val="24"/>
        </w:rPr>
      </w:pPr>
      <w:bookmarkStart w:id="7" w:name="OLE_LINK14"/>
      <w:bookmarkStart w:id="8" w:name="OLE_LINK13"/>
      <w:r>
        <w:rPr>
          <w:rFonts w:hint="eastAsia"/>
          <w:b/>
          <w:bCs/>
          <w:sz w:val="24"/>
        </w:rPr>
        <w:t>附件9-2</w:t>
      </w:r>
    </w:p>
    <w:bookmarkEnd w:id="7"/>
    <w:bookmarkEnd w:id="8"/>
    <w:p w14:paraId="0466BB52">
      <w:pPr>
        <w:autoSpaceDN w:val="0"/>
        <w:spacing w:line="360" w:lineRule="auto"/>
        <w:jc w:val="left"/>
        <w:rPr>
          <w:b/>
          <w:bCs/>
          <w:sz w:val="24"/>
        </w:rPr>
      </w:pPr>
      <w:r>
        <w:rPr>
          <w:rFonts w:hint="eastAsia"/>
          <w:b/>
          <w:kern w:val="0"/>
          <w:sz w:val="24"/>
          <w:szCs w:val="21"/>
        </w:rPr>
        <w:t>若不是残疾人福利性单位，投标文件中可不提供此声明函</w:t>
      </w:r>
    </w:p>
    <w:p w14:paraId="31D828F5">
      <w:pPr>
        <w:autoSpaceDN w:val="0"/>
        <w:spacing w:line="360" w:lineRule="auto"/>
        <w:jc w:val="center"/>
        <w:rPr>
          <w:b/>
          <w:bCs/>
          <w:sz w:val="24"/>
        </w:rPr>
      </w:pPr>
    </w:p>
    <w:p w14:paraId="24D5C749">
      <w:pPr>
        <w:snapToGrid w:val="0"/>
        <w:spacing w:line="360" w:lineRule="auto"/>
        <w:jc w:val="center"/>
        <w:rPr>
          <w:b/>
          <w:bCs/>
          <w:sz w:val="24"/>
        </w:rPr>
      </w:pPr>
      <w:r>
        <w:rPr>
          <w:rFonts w:hint="eastAsia"/>
          <w:b/>
          <w:bCs/>
          <w:sz w:val="24"/>
        </w:rPr>
        <w:t>残疾人福利性单位声明函</w:t>
      </w:r>
    </w:p>
    <w:p w14:paraId="3F2133BB">
      <w:pPr>
        <w:snapToGrid w:val="0"/>
        <w:spacing w:line="360" w:lineRule="auto"/>
        <w:ind w:firstLine="448" w:firstLineChars="200"/>
        <w:jc w:val="left"/>
        <w:rPr>
          <w:b/>
          <w:bCs/>
          <w:sz w:val="24"/>
        </w:rPr>
      </w:pPr>
    </w:p>
    <w:p w14:paraId="552A1ED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2C42B66">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4BF8C490">
      <w:pPr>
        <w:snapToGrid w:val="0"/>
        <w:spacing w:line="360" w:lineRule="auto"/>
        <w:ind w:firstLine="448" w:firstLineChars="200"/>
        <w:jc w:val="left"/>
        <w:rPr>
          <w:bCs/>
          <w:sz w:val="24"/>
        </w:rPr>
      </w:pPr>
    </w:p>
    <w:p w14:paraId="08665F44">
      <w:pPr>
        <w:snapToGrid w:val="0"/>
        <w:spacing w:line="360" w:lineRule="auto"/>
        <w:ind w:firstLine="448" w:firstLineChars="200"/>
        <w:jc w:val="left"/>
        <w:rPr>
          <w:bCs/>
          <w:sz w:val="24"/>
        </w:rPr>
      </w:pPr>
    </w:p>
    <w:p w14:paraId="6145319F">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3825AD22">
      <w:pPr>
        <w:snapToGrid w:val="0"/>
        <w:spacing w:line="360" w:lineRule="auto"/>
        <w:ind w:firstLine="448" w:firstLineChars="200"/>
        <w:jc w:val="left"/>
        <w:rPr>
          <w:bCs/>
          <w:sz w:val="24"/>
        </w:rPr>
      </w:pPr>
    </w:p>
    <w:p w14:paraId="23B49449">
      <w:pPr>
        <w:snapToGrid w:val="0"/>
        <w:spacing w:line="360" w:lineRule="auto"/>
        <w:ind w:firstLine="448" w:firstLineChars="200"/>
        <w:jc w:val="left"/>
        <w:rPr>
          <w:sz w:val="24"/>
          <w:szCs w:val="21"/>
        </w:rPr>
      </w:pPr>
      <w:r>
        <w:rPr>
          <w:rFonts w:hint="eastAsia"/>
          <w:bCs/>
          <w:sz w:val="24"/>
        </w:rPr>
        <w:t xml:space="preserve">               日  期：</w:t>
      </w:r>
    </w:p>
    <w:p w14:paraId="66AC7294">
      <w:pPr>
        <w:snapToGrid w:val="0"/>
        <w:spacing w:line="360" w:lineRule="auto"/>
        <w:ind w:firstLine="448" w:firstLineChars="200"/>
        <w:jc w:val="left"/>
        <w:rPr>
          <w:sz w:val="24"/>
          <w:szCs w:val="21"/>
        </w:rPr>
      </w:pPr>
    </w:p>
    <w:p w14:paraId="3B447639">
      <w:pPr>
        <w:snapToGrid w:val="0"/>
        <w:spacing w:line="360" w:lineRule="auto"/>
        <w:ind w:firstLine="448" w:firstLineChars="200"/>
        <w:rPr>
          <w:sz w:val="24"/>
          <w:szCs w:val="21"/>
        </w:rPr>
      </w:pPr>
      <w:r>
        <w:rPr>
          <w:sz w:val="24"/>
          <w:szCs w:val="21"/>
        </w:rPr>
        <w:t>注：</w:t>
      </w:r>
    </w:p>
    <w:p w14:paraId="1BF05DD7">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05A8D300">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533DD0BC">
      <w:pPr>
        <w:snapToGrid w:val="0"/>
        <w:spacing w:line="360" w:lineRule="auto"/>
        <w:ind w:firstLine="448" w:firstLineChars="200"/>
        <w:rPr>
          <w:color w:val="FF0000"/>
          <w:sz w:val="24"/>
          <w:szCs w:val="21"/>
        </w:rPr>
      </w:pPr>
    </w:p>
    <w:p w14:paraId="6B53E506">
      <w:pPr>
        <w:snapToGrid w:val="0"/>
        <w:spacing w:line="360" w:lineRule="auto"/>
        <w:ind w:firstLine="448" w:firstLineChars="200"/>
        <w:jc w:val="left"/>
        <w:rPr>
          <w:sz w:val="24"/>
          <w:szCs w:val="21"/>
        </w:rPr>
      </w:pPr>
    </w:p>
    <w:p w14:paraId="5DBDE1A3">
      <w:pPr>
        <w:spacing w:line="360" w:lineRule="auto"/>
        <w:ind w:right="84" w:firstLine="224" w:firstLineChars="100"/>
        <w:rPr>
          <w:position w:val="-40"/>
          <w:sz w:val="24"/>
        </w:rPr>
      </w:pPr>
    </w:p>
    <w:p w14:paraId="04D47447">
      <w:pPr>
        <w:spacing w:line="560" w:lineRule="exact"/>
        <w:jc w:val="center"/>
        <w:rPr>
          <w:sz w:val="24"/>
        </w:rPr>
      </w:pPr>
      <w:r>
        <w:rPr>
          <w:sz w:val="24"/>
        </w:rPr>
        <w:br w:type="page"/>
      </w:r>
    </w:p>
    <w:p w14:paraId="23DD139B">
      <w:pPr>
        <w:snapToGrid w:val="0"/>
        <w:spacing w:line="360" w:lineRule="auto"/>
        <w:rPr>
          <w:b/>
          <w:bCs/>
          <w:sz w:val="24"/>
        </w:rPr>
      </w:pPr>
      <w:r>
        <w:rPr>
          <w:b/>
          <w:sz w:val="24"/>
          <w:szCs w:val="21"/>
        </w:rPr>
        <w:t>附件1</w:t>
      </w:r>
      <w:r>
        <w:rPr>
          <w:rFonts w:hint="eastAsia"/>
          <w:b/>
          <w:sz w:val="24"/>
          <w:szCs w:val="21"/>
          <w:lang w:val="en-US" w:eastAsia="zh-CN"/>
        </w:rPr>
        <w:t>0</w:t>
      </w:r>
      <w:r>
        <w:rPr>
          <w:b/>
          <w:sz w:val="24"/>
          <w:szCs w:val="21"/>
        </w:rPr>
        <w:t>：</w:t>
      </w:r>
      <w:r>
        <w:rPr>
          <w:b/>
          <w:sz w:val="24"/>
        </w:rPr>
        <w:t>招标文件</w:t>
      </w:r>
      <w:r>
        <w:rPr>
          <w:b/>
          <w:bCs/>
          <w:sz w:val="24"/>
        </w:rPr>
        <w:t>评分因素及评标标准中要求的证明材料</w:t>
      </w:r>
      <w:r>
        <w:rPr>
          <w:rFonts w:hint="eastAsia"/>
          <w:b/>
          <w:bCs/>
          <w:sz w:val="24"/>
          <w:lang w:eastAsia="zh-CN"/>
        </w:rPr>
        <w:t>电子件</w:t>
      </w:r>
      <w:r>
        <w:rPr>
          <w:b/>
          <w:bCs/>
          <w:sz w:val="24"/>
        </w:rPr>
        <w:t>、方案等</w:t>
      </w:r>
    </w:p>
    <w:p w14:paraId="137B7D08">
      <w:pPr>
        <w:snapToGrid w:val="0"/>
        <w:spacing w:line="360" w:lineRule="auto"/>
        <w:rPr>
          <w:b/>
          <w:sz w:val="24"/>
          <w:szCs w:val="21"/>
        </w:rPr>
      </w:pPr>
      <w:r>
        <w:rPr>
          <w:b/>
          <w:bCs/>
          <w:sz w:val="24"/>
        </w:rPr>
        <w:t>附件</w:t>
      </w:r>
      <w:r>
        <w:rPr>
          <w:rFonts w:hint="eastAsia"/>
          <w:b/>
          <w:bCs/>
          <w:sz w:val="24"/>
          <w:lang w:val="en-US" w:eastAsia="zh-CN"/>
        </w:rPr>
        <w:t>11</w:t>
      </w:r>
      <w:r>
        <w:rPr>
          <w:b/>
          <w:bCs/>
          <w:sz w:val="24"/>
        </w:rPr>
        <w:t>：</w:t>
      </w:r>
      <w:r>
        <w:rPr>
          <w:b/>
          <w:sz w:val="24"/>
        </w:rPr>
        <w:t>投标人认为需要提供的其他资料</w:t>
      </w:r>
    </w:p>
    <w:sectPr>
      <w:footerReference r:id="rId6"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inherit">
    <w:altName w:val="Times New Roman"/>
    <w:panose1 w:val="00000000000000000000"/>
    <w:charset w:val="00"/>
    <w:family w:val="roman"/>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ヒラギノ角ゴ Pro W3">
    <w:altName w:val="Yu Gothic UI Light"/>
    <w:panose1 w:val="020B0300000000000000"/>
    <w:charset w:val="80"/>
    <w:family w:val="auto"/>
    <w:pitch w:val="default"/>
    <w:sig w:usb0="00000000" w:usb1="00000000" w:usb2="00000012" w:usb3="00000000" w:csb0="0002000D" w:csb1="00000000"/>
  </w:font>
  <w:font w:name="Yu Gothic UI Light">
    <w:panose1 w:val="020B0300000000000000"/>
    <w:charset w:val="80"/>
    <w:family w:val="auto"/>
    <w:pitch w:val="default"/>
    <w:sig w:usb0="E00002FF" w:usb1="2AC7FDFF" w:usb2="00000016" w:usb3="00000000" w:csb0="2002009F" w:csb1="00000000"/>
  </w:font>
  <w:font w:name="Helvetica">
    <w:altName w:val="Arial"/>
    <w:panose1 w:val="00000000000000000000"/>
    <w:charset w:val="00"/>
    <w:family w:val="swiss"/>
    <w:pitch w:val="default"/>
    <w:sig w:usb0="00000000" w:usb1="00000000" w:usb2="00000000" w:usb3="00000000" w:csb0="2000019F" w:csb1="4F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EC056">
    <w:pPr>
      <w:pStyle w:val="14"/>
      <w:jc w:val="center"/>
    </w:pPr>
    <w:r>
      <w:rPr>
        <w:b/>
      </w:rPr>
      <w:fldChar w:fldCharType="begin"/>
    </w:r>
    <w:r>
      <w:rPr>
        <w:b/>
      </w:rPr>
      <w:instrText xml:space="preserve">PAGE  \* Arabic  \* MERGEFORMAT</w:instrText>
    </w:r>
    <w:r>
      <w:rPr>
        <w:b/>
      </w:rPr>
      <w:fldChar w:fldCharType="separate"/>
    </w:r>
    <w:r>
      <w:rPr>
        <w:b/>
        <w:lang w:val="zh-CN"/>
      </w:rPr>
      <w:t>16</w:t>
    </w:r>
    <w:r>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724B">
    <w:pPr>
      <w:pStyle w:val="14"/>
      <w:jc w:val="center"/>
    </w:pPr>
    <w:r>
      <w:rPr>
        <w:b/>
      </w:rPr>
      <w:fldChar w:fldCharType="begin"/>
    </w:r>
    <w:r>
      <w:rPr>
        <w:b/>
      </w:rPr>
      <w:instrText xml:space="preserve">PAGE  \* Arabic  \* MERGEFORMAT</w:instrText>
    </w:r>
    <w:r>
      <w:rPr>
        <w:b/>
      </w:rPr>
      <w:fldChar w:fldCharType="separate"/>
    </w:r>
    <w:r>
      <w:rPr>
        <w:b/>
        <w:lang w:val="zh-CN"/>
      </w:rPr>
      <w:t>42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0C8E">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891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2">
    <w:nsid w:val="405007BD"/>
    <w:multiLevelType w:val="multilevel"/>
    <w:tmpl w:val="405007BD"/>
    <w:lvl w:ilvl="0" w:tentative="0">
      <w:start w:val="1"/>
      <w:numFmt w:val="decimalEnclosedCircle"/>
      <w:lvlText w:val="%1"/>
      <w:lvlJc w:val="left"/>
      <w:pPr>
        <w:ind w:left="806" w:hanging="360"/>
      </w:pPr>
      <w:rPr>
        <w:rFonts w:hint="default"/>
      </w:rPr>
    </w:lvl>
    <w:lvl w:ilvl="1" w:tentative="0">
      <w:start w:val="1"/>
      <w:numFmt w:val="lowerLetter"/>
      <w:lvlText w:val="%2)"/>
      <w:lvlJc w:val="left"/>
      <w:pPr>
        <w:ind w:left="1326" w:hanging="440"/>
      </w:pPr>
    </w:lvl>
    <w:lvl w:ilvl="2" w:tentative="0">
      <w:start w:val="1"/>
      <w:numFmt w:val="lowerRoman"/>
      <w:lvlText w:val="%3."/>
      <w:lvlJc w:val="right"/>
      <w:pPr>
        <w:ind w:left="1766" w:hanging="440"/>
      </w:pPr>
    </w:lvl>
    <w:lvl w:ilvl="3" w:tentative="0">
      <w:start w:val="1"/>
      <w:numFmt w:val="decimal"/>
      <w:lvlText w:val="%4."/>
      <w:lvlJc w:val="left"/>
      <w:pPr>
        <w:ind w:left="2206" w:hanging="440"/>
      </w:pPr>
    </w:lvl>
    <w:lvl w:ilvl="4" w:tentative="0">
      <w:start w:val="1"/>
      <w:numFmt w:val="lowerLetter"/>
      <w:lvlText w:val="%5)"/>
      <w:lvlJc w:val="left"/>
      <w:pPr>
        <w:ind w:left="2646" w:hanging="440"/>
      </w:pPr>
    </w:lvl>
    <w:lvl w:ilvl="5" w:tentative="0">
      <w:start w:val="1"/>
      <w:numFmt w:val="lowerRoman"/>
      <w:lvlText w:val="%6."/>
      <w:lvlJc w:val="right"/>
      <w:pPr>
        <w:ind w:left="3086" w:hanging="440"/>
      </w:pPr>
    </w:lvl>
    <w:lvl w:ilvl="6" w:tentative="0">
      <w:start w:val="1"/>
      <w:numFmt w:val="decimal"/>
      <w:lvlText w:val="%7."/>
      <w:lvlJc w:val="left"/>
      <w:pPr>
        <w:ind w:left="3526" w:hanging="440"/>
      </w:pPr>
    </w:lvl>
    <w:lvl w:ilvl="7" w:tentative="0">
      <w:start w:val="1"/>
      <w:numFmt w:val="lowerLetter"/>
      <w:lvlText w:val="%8)"/>
      <w:lvlJc w:val="left"/>
      <w:pPr>
        <w:ind w:left="3966" w:hanging="440"/>
      </w:pPr>
    </w:lvl>
    <w:lvl w:ilvl="8" w:tentative="0">
      <w:start w:val="1"/>
      <w:numFmt w:val="lowerRoman"/>
      <w:lvlText w:val="%9."/>
      <w:lvlJc w:val="right"/>
      <w:pPr>
        <w:ind w:left="4406" w:hanging="440"/>
      </w:pPr>
    </w:lvl>
  </w:abstractNum>
  <w:abstractNum w:abstractNumId="3">
    <w:nsid w:val="73B11091"/>
    <w:multiLevelType w:val="multilevel"/>
    <w:tmpl w:val="73B11091"/>
    <w:lvl w:ilvl="0" w:tentative="0">
      <w:start w:val="1"/>
      <w:numFmt w:val="decimalEnclosedCircle"/>
      <w:lvlText w:val="%1"/>
      <w:lvlJc w:val="left"/>
      <w:pPr>
        <w:ind w:left="806" w:hanging="360"/>
      </w:pPr>
      <w:rPr>
        <w:rFonts w:hint="default"/>
      </w:rPr>
    </w:lvl>
    <w:lvl w:ilvl="1" w:tentative="0">
      <w:start w:val="1"/>
      <w:numFmt w:val="lowerLetter"/>
      <w:lvlText w:val="%2)"/>
      <w:lvlJc w:val="left"/>
      <w:pPr>
        <w:ind w:left="1326" w:hanging="440"/>
      </w:pPr>
    </w:lvl>
    <w:lvl w:ilvl="2" w:tentative="0">
      <w:start w:val="1"/>
      <w:numFmt w:val="lowerRoman"/>
      <w:lvlText w:val="%3."/>
      <w:lvlJc w:val="right"/>
      <w:pPr>
        <w:ind w:left="1766" w:hanging="440"/>
      </w:pPr>
    </w:lvl>
    <w:lvl w:ilvl="3" w:tentative="0">
      <w:start w:val="1"/>
      <w:numFmt w:val="decimal"/>
      <w:lvlText w:val="%4."/>
      <w:lvlJc w:val="left"/>
      <w:pPr>
        <w:ind w:left="2206" w:hanging="440"/>
      </w:pPr>
    </w:lvl>
    <w:lvl w:ilvl="4" w:tentative="0">
      <w:start w:val="1"/>
      <w:numFmt w:val="lowerLetter"/>
      <w:lvlText w:val="%5)"/>
      <w:lvlJc w:val="left"/>
      <w:pPr>
        <w:ind w:left="2646" w:hanging="440"/>
      </w:pPr>
    </w:lvl>
    <w:lvl w:ilvl="5" w:tentative="0">
      <w:start w:val="1"/>
      <w:numFmt w:val="lowerRoman"/>
      <w:lvlText w:val="%6."/>
      <w:lvlJc w:val="right"/>
      <w:pPr>
        <w:ind w:left="3086" w:hanging="440"/>
      </w:pPr>
    </w:lvl>
    <w:lvl w:ilvl="6" w:tentative="0">
      <w:start w:val="1"/>
      <w:numFmt w:val="decimal"/>
      <w:lvlText w:val="%7."/>
      <w:lvlJc w:val="left"/>
      <w:pPr>
        <w:ind w:left="3526" w:hanging="440"/>
      </w:pPr>
    </w:lvl>
    <w:lvl w:ilvl="7" w:tentative="0">
      <w:start w:val="1"/>
      <w:numFmt w:val="lowerLetter"/>
      <w:lvlText w:val="%8)"/>
      <w:lvlJc w:val="left"/>
      <w:pPr>
        <w:ind w:left="3966" w:hanging="440"/>
      </w:pPr>
    </w:lvl>
    <w:lvl w:ilvl="8" w:tentative="0">
      <w:start w:val="1"/>
      <w:numFmt w:val="lowerRoman"/>
      <w:lvlText w:val="%9."/>
      <w:lvlJc w:val="right"/>
      <w:pPr>
        <w:ind w:left="4406"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69B7C33"/>
    <w:rsid w:val="09906EA9"/>
    <w:rsid w:val="0CA74A68"/>
    <w:rsid w:val="11BE5953"/>
    <w:rsid w:val="15F22031"/>
    <w:rsid w:val="21BD19B0"/>
    <w:rsid w:val="2E2F2689"/>
    <w:rsid w:val="324D549D"/>
    <w:rsid w:val="4E2D0376"/>
    <w:rsid w:val="55E737FF"/>
    <w:rsid w:val="67617459"/>
    <w:rsid w:val="6FF84BF7"/>
    <w:rsid w:val="744A0DA3"/>
    <w:rsid w:val="77E61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 w:type="paragraph" w:customStyle="1" w:styleId="54">
    <w:name w:val="文档正文"/>
    <w:basedOn w:val="1"/>
    <w:qFormat/>
    <w:uiPriority w:val="0"/>
    <w:pPr>
      <w:adjustRightInd w:val="0"/>
      <w:spacing w:before="120" w:beforeLines="50" w:line="440" w:lineRule="atLeast"/>
      <w:ind w:left="850" w:firstLine="496" w:firstLineChars="200"/>
      <w:textAlignment w:val="baseline"/>
    </w:pPr>
    <w:rPr>
      <w:rFonts w:ascii="inherit" w:hAnsi="inherit" w:cs="inherit"/>
      <w:spacing w:val="4"/>
      <w:kern w:val="0"/>
      <w:sz w:val="24"/>
    </w:rPr>
  </w:style>
  <w:style w:type="paragraph" w:customStyle="1" w:styleId="55">
    <w:name w:val="Table Heading"/>
    <w:basedOn w:val="1"/>
    <w:qFormat/>
    <w:uiPriority w:val="0"/>
    <w:pPr>
      <w:topLinePunct/>
      <w:adjustRightInd w:val="0"/>
      <w:snapToGrid w:val="0"/>
      <w:spacing w:before="80" w:after="80" w:line="240" w:lineRule="atLeast"/>
      <w:jc w:val="left"/>
    </w:pPr>
    <w:rPr>
      <w:rFonts w:hint="eastAsia" w:ascii="Book Antiqua" w:hAnsi="Book Antiqua" w:eastAsia="黑体" w:cs="Book Antiqua"/>
      <w:bCs/>
      <w:snapToGrid w:val="0"/>
      <w:kern w:val="0"/>
      <w:szCs w:val="21"/>
    </w:rPr>
  </w:style>
  <w:style w:type="paragraph" w:customStyle="1" w:styleId="56">
    <w:name w:val="Table Text"/>
    <w:basedOn w:val="1"/>
    <w:qFormat/>
    <w:uiPriority w:val="0"/>
    <w:pPr>
      <w:topLinePunct/>
      <w:adjustRightInd w:val="0"/>
      <w:snapToGrid w:val="0"/>
      <w:spacing w:before="80" w:after="80" w:line="240" w:lineRule="atLeast"/>
      <w:jc w:val="left"/>
    </w:pPr>
    <w:rPr>
      <w:rFonts w:hint="eastAsia" w:cs="Arial"/>
      <w:snapToGrid w:val="0"/>
      <w:kern w:val="0"/>
      <w:szCs w:val="21"/>
    </w:rPr>
  </w:style>
  <w:style w:type="paragraph" w:customStyle="1" w:styleId="57">
    <w:name w:val="正文 A"/>
    <w:qFormat/>
    <w:uiPriority w:val="0"/>
    <w:pPr>
      <w:widowControl w:val="0"/>
      <w:jc w:val="both"/>
    </w:pPr>
    <w:rPr>
      <w:rFonts w:ascii="Times New Roman" w:hAnsi="Times New Roman" w:eastAsia="ヒラギノ角ゴ Pro W3" w:cs="Times New Roman"/>
      <w:color w:val="000000"/>
      <w:kern w:val="2"/>
      <w:sz w:val="21"/>
      <w:szCs w:val="20"/>
      <w:lang w:val="en-US" w:eastAsia="zh-CN" w:bidi="ar-SA"/>
    </w:rPr>
  </w:style>
  <w:style w:type="paragraph" w:customStyle="1" w:styleId="58">
    <w:name w:val="正文1"/>
    <w:qFormat/>
    <w:uiPriority w:val="0"/>
    <w:rPr>
      <w:rFonts w:ascii="Helvetica" w:hAnsi="Helvetica" w:eastAsia="ヒラギノ角ゴ Pro W3" w:cs="Times New Roman"/>
      <w:color w:val="000000"/>
      <w:kern w:val="0"/>
      <w:sz w:val="24"/>
      <w:szCs w:val="20"/>
      <w:lang w:val="en-US" w:eastAsia="zh-CN" w:bidi="ar-SA"/>
    </w:rPr>
  </w:style>
  <w:style w:type="paragraph" w:customStyle="1" w:styleId="59">
    <w:name w:val="正文 5"/>
    <w:qFormat/>
    <w:uiPriority w:val="0"/>
    <w:pPr>
      <w:spacing w:line="300" w:lineRule="auto"/>
    </w:pPr>
    <w:rPr>
      <w:rFonts w:ascii="Helvetica" w:hAnsi="Helvetica" w:eastAsia="ヒラギノ角ゴ Pro W3" w:cs="Times New Roman"/>
      <w:color w:val="000000"/>
      <w:kern w:val="0"/>
      <w:sz w:val="22"/>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FB300F-814F-4276-8F7F-CBA81ABF7815}">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86</Pages>
  <Words>1335</Words>
  <Characters>1445</Characters>
  <Lines>216</Lines>
  <Paragraphs>60</Paragraphs>
  <TotalTime>21</TotalTime>
  <ScaleCrop>false</ScaleCrop>
  <LinksUpToDate>false</LinksUpToDate>
  <CharactersWithSpaces>1476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尃翟</cp:lastModifiedBy>
  <dcterms:modified xsi:type="dcterms:W3CDTF">2026-05-20T05:43:23Z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620F483DA5384177BC3D249A97901819_13</vt:lpwstr>
  </property>
</Properties>
</file>